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21" w:rsidRDefault="00253D2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651" w:type="dxa"/>
        <w:tblInd w:w="-459" w:type="dxa"/>
        <w:tblBorders>
          <w:top w:val="nil"/>
          <w:left w:val="nil"/>
          <w:bottom w:val="nil"/>
          <w:right w:val="nil"/>
          <w:insideH w:val="nil"/>
          <w:insideV w:val="nil"/>
        </w:tblBorders>
        <w:tblLayout w:type="fixed"/>
        <w:tblLook w:val="0400" w:firstRow="0" w:lastRow="0" w:firstColumn="0" w:lastColumn="0" w:noHBand="0" w:noVBand="1"/>
      </w:tblPr>
      <w:tblGrid>
        <w:gridCol w:w="1168"/>
        <w:gridCol w:w="7937"/>
        <w:gridCol w:w="1546"/>
      </w:tblGrid>
      <w:tr w:rsidR="00253D21">
        <w:trPr>
          <w:trHeight w:val="1728"/>
        </w:trPr>
        <w:tc>
          <w:tcPr>
            <w:tcW w:w="1168" w:type="dxa"/>
            <w:vAlign w:val="center"/>
          </w:tcPr>
          <w:p w:rsidR="00253D21" w:rsidRDefault="00253D21">
            <w:pPr>
              <w:pBdr>
                <w:top w:val="nil"/>
                <w:left w:val="nil"/>
                <w:bottom w:val="nil"/>
                <w:right w:val="nil"/>
                <w:between w:val="nil"/>
              </w:pBdr>
              <w:tabs>
                <w:tab w:val="center" w:pos="4536"/>
                <w:tab w:val="right" w:pos="9072"/>
              </w:tabs>
              <w:ind w:left="-108"/>
              <w:jc w:val="center"/>
              <w:rPr>
                <w:color w:val="000000"/>
                <w:sz w:val="16"/>
                <w:szCs w:val="16"/>
              </w:rPr>
            </w:pPr>
          </w:p>
        </w:tc>
        <w:tc>
          <w:tcPr>
            <w:tcW w:w="7938" w:type="dxa"/>
            <w:vAlign w:val="center"/>
          </w:tcPr>
          <w:p w:rsidR="00253D21" w:rsidRDefault="00B67520">
            <w:pPr>
              <w:pBdr>
                <w:top w:val="nil"/>
                <w:left w:val="nil"/>
                <w:bottom w:val="nil"/>
                <w:right w:val="nil"/>
                <w:between w:val="nil"/>
              </w:pBdr>
              <w:tabs>
                <w:tab w:val="center" w:pos="4536"/>
                <w:tab w:val="right" w:pos="9072"/>
              </w:tabs>
              <w:spacing w:before="120" w:after="120"/>
              <w:ind w:left="-104"/>
              <w:jc w:val="center"/>
              <w:rPr>
                <w:b/>
                <w:color w:val="61133D"/>
                <w:sz w:val="36"/>
                <w:szCs w:val="36"/>
              </w:rPr>
            </w:pPr>
            <w:r>
              <w:rPr>
                <w:b/>
                <w:color w:val="61133D"/>
                <w:sz w:val="36"/>
                <w:szCs w:val="36"/>
              </w:rPr>
              <w:t xml:space="preserve">Projet de coopération technique sur </w:t>
            </w:r>
          </w:p>
          <w:p w:rsidR="00253D21" w:rsidRDefault="00B67520">
            <w:pPr>
              <w:pBdr>
                <w:top w:val="nil"/>
                <w:left w:val="nil"/>
                <w:bottom w:val="nil"/>
                <w:right w:val="nil"/>
                <w:between w:val="nil"/>
              </w:pBdr>
              <w:tabs>
                <w:tab w:val="center" w:pos="4536"/>
                <w:tab w:val="right" w:pos="9072"/>
              </w:tabs>
              <w:spacing w:before="120" w:after="120"/>
              <w:ind w:left="-104"/>
              <w:jc w:val="center"/>
              <w:rPr>
                <w:b/>
                <w:color w:val="61133D"/>
                <w:sz w:val="36"/>
                <w:szCs w:val="36"/>
              </w:rPr>
            </w:pPr>
            <w:r>
              <w:rPr>
                <w:b/>
                <w:color w:val="61133D"/>
                <w:sz w:val="36"/>
                <w:szCs w:val="36"/>
              </w:rPr>
              <w:t>la mobilité professionnelle circulaire</w:t>
            </w:r>
          </w:p>
          <w:p w:rsidR="00253D21" w:rsidRDefault="00B67520">
            <w:pPr>
              <w:pBdr>
                <w:top w:val="nil"/>
                <w:left w:val="nil"/>
                <w:bottom w:val="nil"/>
                <w:right w:val="nil"/>
                <w:between w:val="nil"/>
              </w:pBdr>
              <w:tabs>
                <w:tab w:val="center" w:pos="4536"/>
                <w:tab w:val="right" w:pos="9072"/>
              </w:tabs>
              <w:spacing w:before="120" w:after="120"/>
              <w:ind w:left="-104"/>
              <w:jc w:val="center"/>
              <w:rPr>
                <w:b/>
                <w:color w:val="61133D"/>
                <w:sz w:val="40"/>
                <w:szCs w:val="40"/>
              </w:rPr>
            </w:pPr>
            <w:r>
              <w:rPr>
                <w:b/>
                <w:color w:val="61133D"/>
                <w:sz w:val="36"/>
                <w:szCs w:val="36"/>
              </w:rPr>
              <w:t>THAMM II</w:t>
            </w:r>
          </w:p>
        </w:tc>
        <w:tc>
          <w:tcPr>
            <w:tcW w:w="1546" w:type="dxa"/>
          </w:tcPr>
          <w:p w:rsidR="00253D21" w:rsidRDefault="00253D21">
            <w:pPr>
              <w:pBdr>
                <w:top w:val="nil"/>
                <w:left w:val="nil"/>
                <w:bottom w:val="nil"/>
                <w:right w:val="nil"/>
                <w:between w:val="nil"/>
              </w:pBdr>
              <w:tabs>
                <w:tab w:val="center" w:pos="4536"/>
                <w:tab w:val="right" w:pos="9072"/>
              </w:tabs>
              <w:jc w:val="center"/>
              <w:rPr>
                <w:color w:val="000000"/>
                <w:sz w:val="16"/>
                <w:szCs w:val="16"/>
              </w:rPr>
            </w:pPr>
          </w:p>
          <w:p w:rsidR="00253D21" w:rsidRDefault="00253D21">
            <w:pPr>
              <w:pBdr>
                <w:top w:val="nil"/>
                <w:left w:val="nil"/>
                <w:bottom w:val="nil"/>
                <w:right w:val="nil"/>
                <w:between w:val="nil"/>
              </w:pBdr>
              <w:tabs>
                <w:tab w:val="center" w:pos="4536"/>
                <w:tab w:val="right" w:pos="9072"/>
              </w:tabs>
              <w:spacing w:before="120" w:after="120"/>
              <w:jc w:val="center"/>
              <w:rPr>
                <w:color w:val="000000"/>
                <w:sz w:val="16"/>
                <w:szCs w:val="16"/>
              </w:rPr>
            </w:pPr>
          </w:p>
          <w:p w:rsidR="00253D21" w:rsidRDefault="00253D21">
            <w:pPr>
              <w:pBdr>
                <w:top w:val="nil"/>
                <w:left w:val="nil"/>
                <w:bottom w:val="nil"/>
                <w:right w:val="nil"/>
                <w:between w:val="nil"/>
              </w:pBdr>
              <w:tabs>
                <w:tab w:val="center" w:pos="4536"/>
                <w:tab w:val="right" w:pos="9072"/>
              </w:tabs>
              <w:ind w:left="-108"/>
              <w:jc w:val="center"/>
              <w:rPr>
                <w:color w:val="000000"/>
                <w:sz w:val="14"/>
                <w:szCs w:val="14"/>
              </w:rPr>
            </w:pPr>
          </w:p>
        </w:tc>
      </w:tr>
    </w:tbl>
    <w:p w:rsidR="00253D21" w:rsidRDefault="00B67520">
      <w:pPr>
        <w:spacing w:after="120" w:line="240" w:lineRule="auto"/>
        <w:ind w:left="-567" w:right="-567"/>
        <w:jc w:val="center"/>
        <w:rPr>
          <w:b/>
          <w:color w:val="05ADA0"/>
          <w:sz w:val="32"/>
          <w:szCs w:val="32"/>
        </w:rPr>
      </w:pPr>
      <w:r>
        <w:rPr>
          <w:b/>
          <w:color w:val="05ADA0"/>
          <w:sz w:val="32"/>
          <w:szCs w:val="32"/>
        </w:rPr>
        <w:t>Avis de concours</w:t>
      </w:r>
    </w:p>
    <w:p w:rsidR="00253D21" w:rsidRDefault="00B67520">
      <w:pPr>
        <w:spacing w:after="120" w:line="240" w:lineRule="auto"/>
        <w:ind w:left="-567" w:right="-567"/>
        <w:jc w:val="center"/>
        <w:rPr>
          <w:b/>
          <w:color w:val="05ADA0"/>
          <w:sz w:val="32"/>
          <w:szCs w:val="32"/>
        </w:rPr>
      </w:pPr>
      <w:r>
        <w:rPr>
          <w:b/>
          <w:color w:val="05ADA0"/>
          <w:sz w:val="32"/>
          <w:szCs w:val="32"/>
        </w:rPr>
        <w:t xml:space="preserve">« Mon projet d’expatriation, mon projet de retour » </w:t>
      </w:r>
    </w:p>
    <w:p w:rsidR="00091D53" w:rsidRDefault="00091D53">
      <w:pPr>
        <w:spacing w:after="120" w:line="240" w:lineRule="auto"/>
        <w:ind w:left="-567" w:right="-567"/>
        <w:jc w:val="center"/>
        <w:rPr>
          <w:b/>
          <w:color w:val="05ADA0"/>
          <w:sz w:val="32"/>
          <w:szCs w:val="32"/>
        </w:rPr>
      </w:pPr>
    </w:p>
    <w:p w:rsidR="00253D21" w:rsidRDefault="00253D21">
      <w:pPr>
        <w:spacing w:after="0" w:line="240" w:lineRule="auto"/>
        <w:jc w:val="both"/>
        <w:rPr>
          <w:color w:val="1E1C11"/>
        </w:rPr>
      </w:pPr>
    </w:p>
    <w:p w:rsidR="00253D21" w:rsidRDefault="00B67520">
      <w:pPr>
        <w:spacing w:line="240" w:lineRule="auto"/>
        <w:jc w:val="center"/>
        <w:rPr>
          <w:b/>
          <w:color w:val="05ADA0"/>
          <w:sz w:val="28"/>
          <w:szCs w:val="28"/>
        </w:rPr>
      </w:pPr>
      <w:r>
        <w:rPr>
          <w:b/>
          <w:color w:val="05ADA0"/>
          <w:sz w:val="28"/>
          <w:szCs w:val="28"/>
        </w:rPr>
        <w:t xml:space="preserve">I </w:t>
      </w:r>
      <w:r w:rsidR="00091D53">
        <w:rPr>
          <w:b/>
          <w:color w:val="05ADA0"/>
          <w:sz w:val="28"/>
          <w:szCs w:val="28"/>
        </w:rPr>
        <w:t>–</w:t>
      </w:r>
      <w:r>
        <w:rPr>
          <w:b/>
          <w:color w:val="05ADA0"/>
          <w:sz w:val="28"/>
          <w:szCs w:val="28"/>
        </w:rPr>
        <w:t xml:space="preserve"> </w:t>
      </w:r>
      <w:r w:rsidR="00091D53">
        <w:rPr>
          <w:b/>
          <w:color w:val="05ADA0"/>
          <w:sz w:val="28"/>
          <w:szCs w:val="28"/>
        </w:rPr>
        <w:t xml:space="preserve">LE </w:t>
      </w:r>
      <w:r>
        <w:rPr>
          <w:b/>
          <w:color w:val="05ADA0"/>
          <w:sz w:val="28"/>
          <w:szCs w:val="28"/>
        </w:rPr>
        <w:t>CONTEXTE</w:t>
      </w:r>
    </w:p>
    <w:p w:rsidR="00253D21" w:rsidRDefault="00B67520">
      <w:pPr>
        <w:spacing w:after="120" w:line="240" w:lineRule="auto"/>
        <w:jc w:val="both"/>
        <w:rPr>
          <w:b/>
          <w:color w:val="05ADA0"/>
          <w:sz w:val="28"/>
          <w:szCs w:val="28"/>
        </w:rPr>
      </w:pPr>
      <w:r>
        <w:rPr>
          <w:b/>
          <w:color w:val="05ADA0"/>
          <w:sz w:val="28"/>
          <w:szCs w:val="28"/>
        </w:rPr>
        <w:t>Intitulé du projet</w:t>
      </w:r>
    </w:p>
    <w:p w:rsidR="00253D21" w:rsidRDefault="00B67520">
      <w:pPr>
        <w:spacing w:after="120" w:line="240" w:lineRule="auto"/>
        <w:jc w:val="both"/>
        <w:rPr>
          <w:color w:val="1E1C11"/>
        </w:rPr>
      </w:pPr>
      <w:r>
        <w:rPr>
          <w:color w:val="1E1C11"/>
        </w:rPr>
        <w:t>Le projet de coopération technique dans le domaine de la mobilité professionnelle circulaire a été développé de manière conjointe par l’Agence nationale pour l’emploi et le travail indépendant (ANETI, Tunisie) et l’Office français de l’immigration et de l’intégration (OFII). Il est financé par le Fonds fiduciaire d’urgence de l’Union européenne en faveur de la stabilité et de la lutte contre les causes profondes de la migration en Afrique.  La mise en œuvre  est coordonnée par l’OFII dans le cadre de la phase II du programme régional THAMM (Pour une approche holistique de la gouvernance de la migration et de la mobilité de main d’œuvre en Afrique du Nord).</w:t>
      </w:r>
    </w:p>
    <w:p w:rsidR="00253D21" w:rsidRDefault="00253D21">
      <w:pPr>
        <w:spacing w:after="120" w:line="240" w:lineRule="auto"/>
        <w:jc w:val="both"/>
        <w:rPr>
          <w:color w:val="1E1C11"/>
        </w:rPr>
      </w:pPr>
    </w:p>
    <w:p w:rsidR="00253D21" w:rsidRDefault="00B67520">
      <w:pPr>
        <w:spacing w:line="240" w:lineRule="auto"/>
        <w:rPr>
          <w:b/>
          <w:color w:val="05ADA0"/>
          <w:sz w:val="28"/>
          <w:szCs w:val="28"/>
        </w:rPr>
      </w:pPr>
      <w:bookmarkStart w:id="0" w:name="_heading=h.gjdgxs" w:colFirst="0" w:colLast="0"/>
      <w:bookmarkEnd w:id="0"/>
      <w:r>
        <w:rPr>
          <w:b/>
          <w:color w:val="05ADA0"/>
          <w:sz w:val="28"/>
          <w:szCs w:val="28"/>
        </w:rPr>
        <w:t>Présentation du projet THAMM OFII</w:t>
      </w:r>
    </w:p>
    <w:p w:rsidR="00253D21" w:rsidRDefault="00B67520">
      <w:pPr>
        <w:spacing w:after="120" w:line="240" w:lineRule="auto"/>
        <w:jc w:val="both"/>
      </w:pPr>
      <w:r>
        <w:t xml:space="preserve">L’intervention de l’OFII se concentre sur la Tunisie. L’objectif général est d’accroitre la mobilité professionnelle circulaire entre la Tunisie et les Etats européens, la France en particulier.  Ceci relève des axes 4 et 5 du programme THAMM. Le projet s’étend sur une période de 4 ans (jusqu’au 31 décembre 2025) et bénéficie d’une subvention de 6 M€. </w:t>
      </w:r>
    </w:p>
    <w:p w:rsidR="00253D21" w:rsidRDefault="00B67520">
      <w:pPr>
        <w:spacing w:after="120" w:line="240" w:lineRule="auto"/>
        <w:jc w:val="both"/>
      </w:pPr>
      <w:r>
        <w:t xml:space="preserve">La mobilité circulaire est entendue comme la possibilité pour une personne qui s’est engagée légalement dans un parcours migratoire d’envisager des périodes de sa vie en Europe et d’autres en Tunisie, sans caractère irréversible. </w:t>
      </w:r>
    </w:p>
    <w:p w:rsidR="00253D21" w:rsidRDefault="00B67520">
      <w:pPr>
        <w:spacing w:after="60" w:line="240" w:lineRule="auto"/>
        <w:jc w:val="both"/>
      </w:pPr>
      <w:r>
        <w:t xml:space="preserve">La mobilité circulaire doit bénéficier à toutes les parties prenantes : </w:t>
      </w:r>
    </w:p>
    <w:p w:rsidR="00253D21" w:rsidRDefault="00B67520">
      <w:pPr>
        <w:numPr>
          <w:ilvl w:val="0"/>
          <w:numId w:val="2"/>
        </w:numPr>
        <w:spacing w:after="60" w:line="240" w:lineRule="auto"/>
        <w:jc w:val="both"/>
      </w:pPr>
      <w:r>
        <w:t>aux migrants : séjour légal, couverture sociale, droit à la formation, capacité d’épargne, possibilité d’une aide au retour ou à la réinstallation ;</w:t>
      </w:r>
    </w:p>
    <w:p w:rsidR="00253D21" w:rsidRDefault="00B67520">
      <w:pPr>
        <w:numPr>
          <w:ilvl w:val="0"/>
          <w:numId w:val="2"/>
        </w:numPr>
        <w:spacing w:after="60" w:line="240" w:lineRule="auto"/>
        <w:jc w:val="both"/>
      </w:pPr>
      <w:r>
        <w:t>aux pays de séjour : en palliant les difficultés de recrutement des entreprises dans certains secteurs (métiers en tension, emplois non pourvus) ;</w:t>
      </w:r>
    </w:p>
    <w:p w:rsidR="00253D21" w:rsidRDefault="00B67520">
      <w:pPr>
        <w:numPr>
          <w:ilvl w:val="0"/>
          <w:numId w:val="2"/>
        </w:numPr>
        <w:spacing w:after="120" w:line="240" w:lineRule="auto"/>
        <w:ind w:left="714" w:hanging="357"/>
        <w:jc w:val="both"/>
      </w:pPr>
      <w:r>
        <w:t xml:space="preserve">aux pays d’origine : lutte contre le chômage, transferts d’argent, retour des compétences accrues par l’expérience migratoire, transfert technologique, réseau international, etc. </w:t>
      </w:r>
    </w:p>
    <w:p w:rsidR="00253D21" w:rsidRDefault="00253D21">
      <w:pPr>
        <w:spacing w:after="120" w:line="240" w:lineRule="auto"/>
        <w:ind w:left="714"/>
        <w:jc w:val="both"/>
      </w:pPr>
    </w:p>
    <w:p w:rsidR="00253D21" w:rsidRDefault="00B67520">
      <w:pPr>
        <w:spacing w:after="120" w:line="240" w:lineRule="auto"/>
        <w:jc w:val="both"/>
      </w:pPr>
      <w:r>
        <w:lastRenderedPageBreak/>
        <w:t xml:space="preserve">Le projet THAMM OFII comporte quatre objectifs spécifiques. Le premier concerne la promotion des voies  légales de migration professionnelle, dont le contrat jeune professionnel et le contrat saisonnier qui sont par définition des titres de migration circulaire. </w:t>
      </w:r>
    </w:p>
    <w:p w:rsidR="00253D21" w:rsidRDefault="00B67520">
      <w:pPr>
        <w:shd w:val="clear" w:color="auto" w:fill="BDD6EE"/>
        <w:spacing w:after="120" w:line="276" w:lineRule="auto"/>
        <w:jc w:val="both"/>
        <w:rPr>
          <w:rFonts w:ascii="Arial" w:eastAsia="Arial" w:hAnsi="Arial" w:cs="Arial"/>
          <w:sz w:val="20"/>
          <w:szCs w:val="20"/>
        </w:rPr>
      </w:pPr>
      <w:r>
        <w:rPr>
          <w:rFonts w:ascii="Arial" w:eastAsia="Arial" w:hAnsi="Arial" w:cs="Arial"/>
          <w:sz w:val="20"/>
          <w:szCs w:val="20"/>
        </w:rPr>
        <w:t xml:space="preserve">OS1 : promouvoir des programmes de mobilité circulaire </w:t>
      </w:r>
    </w:p>
    <w:p w:rsidR="00253D21" w:rsidRDefault="00B67520">
      <w:pPr>
        <w:shd w:val="clear" w:color="auto" w:fill="BDD6EE"/>
        <w:spacing w:after="120" w:line="276" w:lineRule="auto"/>
        <w:jc w:val="both"/>
        <w:rPr>
          <w:sz w:val="20"/>
          <w:szCs w:val="20"/>
        </w:rPr>
      </w:pPr>
      <w:r>
        <w:rPr>
          <w:sz w:val="20"/>
          <w:szCs w:val="20"/>
        </w:rPr>
        <w:t>OS 2 : l’attractivité du territoire tunisien est développée aux yeux des compétences expatriées</w:t>
      </w:r>
    </w:p>
    <w:p w:rsidR="00253D21" w:rsidRDefault="00B67520">
      <w:pPr>
        <w:shd w:val="clear" w:color="auto" w:fill="BDD6EE"/>
        <w:spacing w:after="120" w:line="276" w:lineRule="auto"/>
        <w:jc w:val="both"/>
        <w:rPr>
          <w:sz w:val="20"/>
          <w:szCs w:val="20"/>
        </w:rPr>
      </w:pPr>
      <w:r>
        <w:rPr>
          <w:sz w:val="20"/>
          <w:szCs w:val="20"/>
        </w:rPr>
        <w:t xml:space="preserve">OS 3 : la coopération entre les administrations tunisiennes et françaises/européennes, autour des métiers en tension est renforcée </w:t>
      </w:r>
    </w:p>
    <w:p w:rsidR="00253D21" w:rsidRDefault="00B67520">
      <w:pPr>
        <w:shd w:val="clear" w:color="auto" w:fill="BDD6EE"/>
        <w:spacing w:after="120" w:line="276" w:lineRule="auto"/>
        <w:jc w:val="both"/>
        <w:rPr>
          <w:sz w:val="20"/>
          <w:szCs w:val="20"/>
        </w:rPr>
      </w:pPr>
      <w:r>
        <w:rPr>
          <w:sz w:val="20"/>
          <w:szCs w:val="20"/>
        </w:rPr>
        <w:t xml:space="preserve">OS 4 : l’employabilité en Tunisie et à l’étranger (France) des demandeurs d’emploi qualifiés est renforcée </w:t>
      </w:r>
    </w:p>
    <w:p w:rsidR="00253D21" w:rsidRDefault="00253D21">
      <w:pPr>
        <w:spacing w:after="120" w:line="240" w:lineRule="auto"/>
        <w:jc w:val="both"/>
        <w:rPr>
          <w:color w:val="1E1C11"/>
        </w:rPr>
      </w:pPr>
    </w:p>
    <w:p w:rsidR="00253D21" w:rsidRDefault="00B67520">
      <w:pPr>
        <w:spacing w:line="240" w:lineRule="auto"/>
        <w:rPr>
          <w:b/>
          <w:color w:val="05ADA0"/>
          <w:sz w:val="28"/>
          <w:szCs w:val="28"/>
        </w:rPr>
      </w:pPr>
      <w:bookmarkStart w:id="1" w:name="_heading=h.30j0zll" w:colFirst="0" w:colLast="0"/>
      <w:bookmarkEnd w:id="1"/>
      <w:r>
        <w:rPr>
          <w:b/>
          <w:color w:val="05ADA0"/>
          <w:sz w:val="28"/>
          <w:szCs w:val="28"/>
        </w:rPr>
        <w:t>Le contrat jeune professionnel</w:t>
      </w:r>
    </w:p>
    <w:p w:rsidR="00253D21" w:rsidRDefault="00B67520">
      <w:pPr>
        <w:spacing w:after="60" w:line="240" w:lineRule="auto"/>
        <w:jc w:val="both"/>
        <w:rPr>
          <w:color w:val="FF0000"/>
        </w:rPr>
      </w:pPr>
      <w:r>
        <w:t>Le 4 décembre 2003, la Tunisie et la France ont conclu un accord permettant chaque année à une centaine de jeunes professionnels tunisiens d’acquérir une expérience professionnelle en France. Avec l’</w:t>
      </w:r>
      <w:hyperlink r:id="rId9">
        <w:r>
          <w:t>Accord sur la gestion concertée des migrations</w:t>
        </w:r>
      </w:hyperlink>
      <w:r>
        <w:t xml:space="preserve"> signé le 28 avril 2008, le plafond annuel a été porté à 1500. </w:t>
      </w:r>
    </w:p>
    <w:p w:rsidR="00253D21" w:rsidRDefault="00B67520" w:rsidP="00091D53">
      <w:pPr>
        <w:spacing w:after="120" w:line="240" w:lineRule="auto"/>
        <w:jc w:val="both"/>
      </w:pPr>
      <w:r>
        <w:t xml:space="preserve">L’accord jeune professionnel encourage la mobilité des jeunes et leur enrichissement culturel ; il favorise l’acquisition d’une première expérience salariée. Il permet aussi l’injection de profils expérimentés dans l’économie locale, soutient de part et d’autre l’internationalisation des entreprises et contribue à la pérennité des liens économiques entre la Tunisie et la France.   </w:t>
      </w:r>
    </w:p>
    <w:p w:rsidR="00253D21" w:rsidRDefault="00B67520">
      <w:pPr>
        <w:spacing w:after="240" w:line="240" w:lineRule="auto"/>
        <w:jc w:val="both"/>
      </w:pPr>
      <w:r>
        <w:t>Le contrat jeune professionnel autorise l’accès au marché du travail sans opposabilité de la situation de l’emploi. En contrepartie, le bénéficiaire s’engage à revenir en Tunisie au terme de son contrat. Il est alors éligible au dispositif d’aide à la réinsertion de l’OFII (subvention du projet de réinsertion économique et accompagnement pendant 1 an).</w:t>
      </w:r>
    </w:p>
    <w:p w:rsidR="00091D53" w:rsidRDefault="00091D53">
      <w:pPr>
        <w:spacing w:after="240" w:line="240" w:lineRule="auto"/>
        <w:jc w:val="both"/>
      </w:pPr>
    </w:p>
    <w:p w:rsidR="00091D53" w:rsidRDefault="00091D53" w:rsidP="00091D53">
      <w:pPr>
        <w:spacing w:line="240" w:lineRule="auto"/>
        <w:jc w:val="center"/>
        <w:rPr>
          <w:b/>
          <w:color w:val="05ADA0"/>
          <w:sz w:val="28"/>
          <w:szCs w:val="28"/>
        </w:rPr>
      </w:pPr>
      <w:r>
        <w:rPr>
          <w:b/>
          <w:color w:val="05ADA0"/>
          <w:sz w:val="28"/>
          <w:szCs w:val="28"/>
        </w:rPr>
        <w:t>II – LE CONCOURS</w:t>
      </w:r>
    </w:p>
    <w:p w:rsidR="00253D21" w:rsidRDefault="00253D21">
      <w:pPr>
        <w:spacing w:after="60" w:line="276" w:lineRule="auto"/>
        <w:jc w:val="both"/>
      </w:pPr>
    </w:p>
    <w:p w:rsidR="00253D21" w:rsidRDefault="00B67520">
      <w:pPr>
        <w:spacing w:after="60" w:line="276" w:lineRule="auto"/>
        <w:jc w:val="both"/>
        <w:rPr>
          <w:b/>
        </w:rPr>
      </w:pPr>
      <w:r>
        <w:rPr>
          <w:b/>
        </w:rPr>
        <w:t>ARTICLE 1- OBJET DE L’AVIS DE CONCOURS</w:t>
      </w:r>
    </w:p>
    <w:p w:rsidR="00253D21" w:rsidRDefault="00B67520" w:rsidP="00091D53">
      <w:pPr>
        <w:spacing w:after="120" w:line="240" w:lineRule="auto"/>
        <w:jc w:val="both"/>
      </w:pPr>
      <w:r>
        <w:t>Cet avis de concours a pour objectif de promouvoir la mobilité circulaire par le contrat jeune professionnel</w:t>
      </w:r>
      <w:r w:rsidR="00091D53">
        <w:t xml:space="preserve"> ; </w:t>
      </w:r>
      <w:r>
        <w:t xml:space="preserve"> </w:t>
      </w:r>
      <w:r w:rsidR="00091D53">
        <w:t>L</w:t>
      </w:r>
      <w:r>
        <w:t>e projet THAMM OFII organise un concours intitulé « Mon projet d’expatriation, mon projet de retour »</w:t>
      </w:r>
      <w:r w:rsidR="00091D53">
        <w:t xml:space="preserve"> à l’issue duquel </w:t>
      </w:r>
      <w:r>
        <w:t xml:space="preserve"> 32 lauréats (dont un tiers de femmes) issus d’un parcours de formation (centres de formation professionnelle de l’Agence tunisienne de formation professionnelle (ATFP) ou Instituts supérieurs d’études technologiques (ISET))</w:t>
      </w:r>
      <w:r w:rsidR="00091D53">
        <w:t xml:space="preserve"> seront placés en France  avec un contrat de travail de 6 à 12 mois, renouvelable une fois</w:t>
      </w:r>
      <w:r>
        <w:t xml:space="preserve">. </w:t>
      </w:r>
    </w:p>
    <w:p w:rsidR="00253D21" w:rsidRDefault="00B67520" w:rsidP="00091D53">
      <w:pPr>
        <w:spacing w:after="120" w:line="240" w:lineRule="auto"/>
        <w:jc w:val="both"/>
      </w:pPr>
      <w:r>
        <w:t>Les secteurs d’activités concernés par ce concours sont :</w:t>
      </w:r>
    </w:p>
    <w:p w:rsidR="00253D21" w:rsidRDefault="00A23F7D">
      <w:pPr>
        <w:numPr>
          <w:ilvl w:val="0"/>
          <w:numId w:val="4"/>
        </w:numPr>
        <w:spacing w:after="0" w:line="252" w:lineRule="auto"/>
        <w:jc w:val="both"/>
      </w:pPr>
      <w:r>
        <w:t xml:space="preserve">bâtiment et travaux public </w:t>
      </w:r>
      <w:r w:rsidR="00B67520">
        <w:t>(étancheur, maçon, topographe…),</w:t>
      </w:r>
    </w:p>
    <w:p w:rsidR="00253D21" w:rsidRDefault="00B67520">
      <w:pPr>
        <w:numPr>
          <w:ilvl w:val="0"/>
          <w:numId w:val="4"/>
        </w:numPr>
        <w:spacing w:after="0" w:line="252" w:lineRule="auto"/>
        <w:jc w:val="both"/>
      </w:pPr>
      <w:r>
        <w:t xml:space="preserve">hôtellerie, restauration, </w:t>
      </w:r>
    </w:p>
    <w:p w:rsidR="00253D21" w:rsidRDefault="00B67520">
      <w:pPr>
        <w:numPr>
          <w:ilvl w:val="0"/>
          <w:numId w:val="4"/>
        </w:numPr>
        <w:spacing w:after="0" w:line="252" w:lineRule="auto"/>
        <w:jc w:val="both"/>
      </w:pPr>
      <w:r>
        <w:t>infrastructures de télécommunication (techniciens et cadre de la télécommunication),</w:t>
      </w:r>
    </w:p>
    <w:p w:rsidR="00253D21" w:rsidRDefault="00B67520" w:rsidP="00091D53">
      <w:pPr>
        <w:numPr>
          <w:ilvl w:val="0"/>
          <w:numId w:val="4"/>
        </w:numPr>
        <w:spacing w:after="120" w:line="240" w:lineRule="auto"/>
        <w:jc w:val="both"/>
      </w:pPr>
      <w:r>
        <w:t>énergie (techniciens et cadre dans le domaine du chauffage et de la climatisation).</w:t>
      </w:r>
    </w:p>
    <w:p w:rsidR="00253D21" w:rsidRDefault="00B67520" w:rsidP="00091D53">
      <w:pPr>
        <w:spacing w:after="120" w:line="240" w:lineRule="auto"/>
        <w:jc w:val="both"/>
      </w:pPr>
      <w:r>
        <w:t>Les 32 lauréats</w:t>
      </w:r>
      <w:r w:rsidR="00091D53">
        <w:t>,</w:t>
      </w:r>
      <w:r>
        <w:t xml:space="preserve"> choisis à travers </w:t>
      </w:r>
      <w:r w:rsidR="002B0655">
        <w:t xml:space="preserve">un processus </w:t>
      </w:r>
      <w:r>
        <w:t>de sélection</w:t>
      </w:r>
      <w:r w:rsidR="002B0655">
        <w:t xml:space="preserve"> comportant plusieurs étapes</w:t>
      </w:r>
      <w:r>
        <w:t>, bénéficier</w:t>
      </w:r>
      <w:r w:rsidR="002B0655">
        <w:t>ont</w:t>
      </w:r>
      <w:r>
        <w:t xml:space="preserve"> d’un</w:t>
      </w:r>
      <w:r w:rsidR="002B0655">
        <w:t>e aide financière</w:t>
      </w:r>
      <w:bookmarkStart w:id="2" w:name="_GoBack"/>
      <w:bookmarkEnd w:id="2"/>
      <w:r>
        <w:t xml:space="preserve"> à leur installation en France.</w:t>
      </w:r>
    </w:p>
    <w:p w:rsidR="00253D21" w:rsidRDefault="00253D21" w:rsidP="00091D53">
      <w:pPr>
        <w:spacing w:after="120" w:line="240" w:lineRule="auto"/>
        <w:jc w:val="both"/>
        <w:rPr>
          <w:b/>
        </w:rPr>
      </w:pPr>
    </w:p>
    <w:p w:rsidR="00253D21" w:rsidRDefault="00B67520">
      <w:pPr>
        <w:spacing w:after="60" w:line="276" w:lineRule="auto"/>
        <w:jc w:val="both"/>
        <w:rPr>
          <w:b/>
        </w:rPr>
      </w:pPr>
      <w:r>
        <w:rPr>
          <w:b/>
        </w:rPr>
        <w:t>ARTICLE 2 – ETAPES DE POSTULATION DES CANDIDATS</w:t>
      </w:r>
    </w:p>
    <w:p w:rsidR="00253D21" w:rsidRDefault="00B67520" w:rsidP="002B0655">
      <w:pPr>
        <w:numPr>
          <w:ilvl w:val="0"/>
          <w:numId w:val="4"/>
        </w:numPr>
        <w:spacing w:after="0" w:line="252" w:lineRule="auto"/>
        <w:ind w:left="357" w:hanging="357"/>
        <w:jc w:val="both"/>
      </w:pPr>
      <w:r>
        <w:lastRenderedPageBreak/>
        <w:t xml:space="preserve">En premier lieu, les candidats intéressés par le concours </w:t>
      </w:r>
      <w:r w:rsidR="002B0655">
        <w:t>dev</w:t>
      </w:r>
      <w:r>
        <w:t xml:space="preserve">ront s’enregistrer sur la plateforme dédiée en remplissant un formulaire portant : </w:t>
      </w:r>
      <w:r w:rsidR="00EA4E8E">
        <w:t>nom et prénom,</w:t>
      </w:r>
      <w:r w:rsidR="006E2ED6">
        <w:t xml:space="preserve"> numéro CIN,</w:t>
      </w:r>
      <w:r w:rsidR="00EA4E8E">
        <w:t xml:space="preserve"> genre, </w:t>
      </w:r>
      <w:r>
        <w:t>nationalité, date de naissance, secteur d’activité</w:t>
      </w:r>
      <w:r w:rsidR="006E2ED6">
        <w:t xml:space="preserve"> du diplôme,</w:t>
      </w:r>
      <w:r>
        <w:t xml:space="preserve"> niveau d</w:t>
      </w:r>
      <w:r w:rsidR="002B0655">
        <w:t>u</w:t>
      </w:r>
      <w:r>
        <w:t xml:space="preserve"> diplôme</w:t>
      </w:r>
      <w:r w:rsidR="006E2ED6">
        <w:t>, date d’obtention du diplôme</w:t>
      </w:r>
      <w:r>
        <w:t>.</w:t>
      </w:r>
    </w:p>
    <w:p w:rsidR="00253D21" w:rsidRDefault="00B67520" w:rsidP="002B0655">
      <w:pPr>
        <w:numPr>
          <w:ilvl w:val="0"/>
          <w:numId w:val="4"/>
        </w:numPr>
        <w:spacing w:after="0" w:line="252" w:lineRule="auto"/>
        <w:ind w:left="357" w:hanging="357"/>
        <w:jc w:val="both"/>
      </w:pPr>
      <w:r>
        <w:t>En second lieu, et après avoir reçu un courriel confirmant leur présélection, ils transmettront les documents demandés.</w:t>
      </w:r>
    </w:p>
    <w:p w:rsidR="00253D21" w:rsidRDefault="00253D21">
      <w:pPr>
        <w:spacing w:after="60" w:line="276" w:lineRule="auto"/>
        <w:jc w:val="both"/>
      </w:pPr>
    </w:p>
    <w:p w:rsidR="00253D21" w:rsidRDefault="00B67520">
      <w:pPr>
        <w:spacing w:after="60" w:line="276" w:lineRule="auto"/>
        <w:jc w:val="both"/>
        <w:rPr>
          <w:b/>
        </w:rPr>
      </w:pPr>
      <w:r>
        <w:rPr>
          <w:b/>
        </w:rPr>
        <w:t>ARTICLE 3 – DUREE DE L’APPEL</w:t>
      </w:r>
    </w:p>
    <w:p w:rsidR="00253D21" w:rsidRDefault="00B67520" w:rsidP="002B0655">
      <w:pPr>
        <w:spacing w:after="120" w:line="240" w:lineRule="auto"/>
        <w:jc w:val="both"/>
      </w:pPr>
      <w:r>
        <w:t>La durée de cet appel est de 61 jours</w:t>
      </w:r>
      <w:r w:rsidR="002B0655">
        <w:t xml:space="preserve"> pour l’inscription</w:t>
      </w:r>
      <w:r>
        <w:t>, du 1</w:t>
      </w:r>
      <w:r w:rsidRPr="002B0655">
        <w:t>er</w:t>
      </w:r>
      <w:r>
        <w:t xml:space="preserve"> novembre au 31 décembre 2022 et </w:t>
      </w:r>
      <w:r w:rsidR="002B0655">
        <w:t>de 30 jours, du 1</w:t>
      </w:r>
      <w:r w:rsidR="002B0655" w:rsidRPr="002B0655">
        <w:rPr>
          <w:vertAlign w:val="superscript"/>
        </w:rPr>
        <w:t>er</w:t>
      </w:r>
      <w:r w:rsidR="002B0655">
        <w:t xml:space="preserve"> </w:t>
      </w:r>
      <w:r>
        <w:t>au 31 janvier 2023</w:t>
      </w:r>
      <w:r w:rsidR="002B0655">
        <w:t>,</w:t>
      </w:r>
      <w:r>
        <w:t xml:space="preserve"> pour le dépôt de dossier.</w:t>
      </w:r>
    </w:p>
    <w:p w:rsidR="006E2ED6" w:rsidRPr="002B0655" w:rsidRDefault="006E2ED6" w:rsidP="002B0655">
      <w:pPr>
        <w:spacing w:after="120" w:line="240" w:lineRule="auto"/>
        <w:jc w:val="both"/>
      </w:pPr>
    </w:p>
    <w:p w:rsidR="00253D21" w:rsidRDefault="00B67520">
      <w:pPr>
        <w:spacing w:after="60" w:line="276" w:lineRule="auto"/>
        <w:jc w:val="both"/>
        <w:rPr>
          <w:b/>
        </w:rPr>
      </w:pPr>
      <w:r>
        <w:rPr>
          <w:b/>
        </w:rPr>
        <w:t>ARTICLE 4 – ELIGIBILITE DES CANDIDATS</w:t>
      </w:r>
    </w:p>
    <w:p w:rsidR="00253D21" w:rsidRDefault="006E2ED6">
      <w:pPr>
        <w:spacing w:after="60" w:line="240" w:lineRule="auto"/>
        <w:jc w:val="both"/>
      </w:pPr>
      <w:r>
        <w:t xml:space="preserve">Les conditions </w:t>
      </w:r>
      <w:r w:rsidR="002B0655">
        <w:t xml:space="preserve">de </w:t>
      </w:r>
      <w:r>
        <w:t>particip</w:t>
      </w:r>
      <w:r w:rsidR="002B0655">
        <w:t>ation</w:t>
      </w:r>
      <w:r>
        <w:t xml:space="preserve"> au concours</w:t>
      </w:r>
      <w:r w:rsidR="002B0655">
        <w:t xml:space="preserve"> sont les suivantes</w:t>
      </w:r>
      <w:r w:rsidR="00B67520">
        <w:t xml:space="preserve"> : </w:t>
      </w:r>
    </w:p>
    <w:p w:rsidR="00253D21" w:rsidRDefault="00B67520">
      <w:pPr>
        <w:spacing w:after="60" w:line="240" w:lineRule="auto"/>
        <w:jc w:val="both"/>
      </w:pPr>
      <w:r>
        <w:t xml:space="preserve">- Avoir </w:t>
      </w:r>
      <w:r w:rsidR="002B0655">
        <w:t xml:space="preserve">la </w:t>
      </w:r>
      <w:r>
        <w:t>nationalité tunisienne</w:t>
      </w:r>
      <w:r w:rsidR="00A01842">
        <w:t xml:space="preserve"> sans être de nationalité française,</w:t>
      </w:r>
    </w:p>
    <w:p w:rsidR="00253D21" w:rsidRDefault="00B67520">
      <w:pPr>
        <w:spacing w:after="60" w:line="240" w:lineRule="auto"/>
        <w:jc w:val="both"/>
      </w:pPr>
      <w:r>
        <w:t>- Résider en Tunisie,</w:t>
      </w:r>
    </w:p>
    <w:p w:rsidR="00253D21" w:rsidRDefault="00B67520">
      <w:pPr>
        <w:spacing w:after="60" w:line="240" w:lineRule="auto"/>
        <w:jc w:val="both"/>
      </w:pPr>
      <w:r>
        <w:t>- Avoir plus de 18 ans et moins de 35 ans,</w:t>
      </w:r>
    </w:p>
    <w:p w:rsidR="00A01842" w:rsidRDefault="00A23F7D">
      <w:pPr>
        <w:spacing w:after="60" w:line="240" w:lineRule="auto"/>
        <w:jc w:val="both"/>
      </w:pPr>
      <w:r>
        <w:t>- Etre t</w:t>
      </w:r>
      <w:r w:rsidR="00B67520">
        <w:t>itulaire d’un diplôme </w:t>
      </w:r>
      <w:r>
        <w:t xml:space="preserve">obtenu en 2021-2022 </w:t>
      </w:r>
      <w:r w:rsidR="00B67520">
        <w:t>: CAP, BTP, BTS, Licence,</w:t>
      </w:r>
    </w:p>
    <w:p w:rsidR="00253D21" w:rsidRDefault="00B67520">
      <w:pPr>
        <w:spacing w:after="0" w:line="240" w:lineRule="auto"/>
        <w:jc w:val="both"/>
      </w:pPr>
      <w:r>
        <w:t xml:space="preserve">- </w:t>
      </w:r>
      <w:r w:rsidR="00A23F7D">
        <w:t>Etre d</w:t>
      </w:r>
      <w:r>
        <w:t>iplôm</w:t>
      </w:r>
      <w:r w:rsidR="00A23F7D">
        <w:t>é</w:t>
      </w:r>
      <w:r>
        <w:t xml:space="preserve"> </w:t>
      </w:r>
      <w:r w:rsidR="00794B9B">
        <w:t>en</w:t>
      </w:r>
      <w:r>
        <w:t> :</w:t>
      </w:r>
    </w:p>
    <w:p w:rsidR="00253D21" w:rsidRDefault="00794B9B">
      <w:pPr>
        <w:numPr>
          <w:ilvl w:val="0"/>
          <w:numId w:val="4"/>
        </w:numPr>
        <w:spacing w:after="0" w:line="252" w:lineRule="auto"/>
        <w:jc w:val="both"/>
      </w:pPr>
      <w:r>
        <w:t>bâtiment et travaux public</w:t>
      </w:r>
      <w:r w:rsidR="00B67520">
        <w:t xml:space="preserve"> (étancheur, maçon, topographe…),</w:t>
      </w:r>
    </w:p>
    <w:p w:rsidR="00253D21" w:rsidRDefault="00B67520">
      <w:pPr>
        <w:numPr>
          <w:ilvl w:val="0"/>
          <w:numId w:val="4"/>
        </w:numPr>
        <w:spacing w:after="0" w:line="252" w:lineRule="auto"/>
        <w:jc w:val="both"/>
      </w:pPr>
      <w:r>
        <w:t xml:space="preserve">hôtellerie, restauration, </w:t>
      </w:r>
    </w:p>
    <w:p w:rsidR="00253D21" w:rsidRDefault="00B67520">
      <w:pPr>
        <w:numPr>
          <w:ilvl w:val="0"/>
          <w:numId w:val="4"/>
        </w:numPr>
        <w:spacing w:after="0" w:line="252" w:lineRule="auto"/>
        <w:jc w:val="both"/>
      </w:pPr>
      <w:r>
        <w:t>infrastructures de télécommunication (techniciens et cadre</w:t>
      </w:r>
      <w:r w:rsidR="002B0655">
        <w:t>s</w:t>
      </w:r>
      <w:r>
        <w:t>),</w:t>
      </w:r>
    </w:p>
    <w:p w:rsidR="00253D21" w:rsidRDefault="00B67520">
      <w:pPr>
        <w:numPr>
          <w:ilvl w:val="0"/>
          <w:numId w:val="4"/>
        </w:numPr>
        <w:spacing w:after="0" w:line="252" w:lineRule="auto"/>
        <w:jc w:val="both"/>
      </w:pPr>
      <w:r>
        <w:t>énergie (techniciens et cadre</w:t>
      </w:r>
      <w:r w:rsidR="002B0655">
        <w:t>s</w:t>
      </w:r>
      <w:r>
        <w:t xml:space="preserve"> dans le domaine du chauffage et de la climatisation),</w:t>
      </w:r>
    </w:p>
    <w:p w:rsidR="00253D21" w:rsidRDefault="00B67520" w:rsidP="002B0655">
      <w:pPr>
        <w:spacing w:after="120" w:line="240" w:lineRule="auto"/>
        <w:jc w:val="both"/>
      </w:pPr>
      <w:r>
        <w:t xml:space="preserve">- </w:t>
      </w:r>
      <w:r w:rsidR="002B0655">
        <w:t>Avoir</w:t>
      </w:r>
      <w:r>
        <w:t xml:space="preserve"> un projet </w:t>
      </w:r>
      <w:r w:rsidR="002B0655">
        <w:t xml:space="preserve">précis </w:t>
      </w:r>
      <w:r>
        <w:t>d’expatriation et de retour.</w:t>
      </w:r>
    </w:p>
    <w:p w:rsidR="002B0655" w:rsidRDefault="002B0655" w:rsidP="002B0655">
      <w:pPr>
        <w:spacing w:after="120" w:line="240" w:lineRule="auto"/>
        <w:jc w:val="both"/>
      </w:pPr>
    </w:p>
    <w:p w:rsidR="00253D21" w:rsidRDefault="00B67520" w:rsidP="002B0655">
      <w:pPr>
        <w:spacing w:after="120" w:line="240" w:lineRule="auto"/>
        <w:jc w:val="both"/>
        <w:rPr>
          <w:b/>
        </w:rPr>
      </w:pPr>
      <w:r>
        <w:rPr>
          <w:b/>
        </w:rPr>
        <w:t>ARTICLE 5 – DOSSIER DE CANDIDATURE</w:t>
      </w:r>
    </w:p>
    <w:p w:rsidR="00253D21" w:rsidRDefault="00B67520" w:rsidP="002B0655">
      <w:pPr>
        <w:spacing w:after="120" w:line="240" w:lineRule="auto"/>
        <w:jc w:val="both"/>
      </w:pPr>
      <w:r>
        <w:t>Pour participer au concours, le dossier de candidature d</w:t>
      </w:r>
      <w:r w:rsidR="002B0655">
        <w:t xml:space="preserve">evra obligatoirement </w:t>
      </w:r>
      <w:r>
        <w:t xml:space="preserve">comprendre </w:t>
      </w:r>
      <w:r w:rsidR="002B0655">
        <w:t>l</w:t>
      </w:r>
      <w:r>
        <w:t>es documents suivants :</w:t>
      </w:r>
    </w:p>
    <w:p w:rsidR="00253D21" w:rsidRDefault="00B67520" w:rsidP="009272E2">
      <w:pPr>
        <w:numPr>
          <w:ilvl w:val="0"/>
          <w:numId w:val="4"/>
        </w:numPr>
        <w:pBdr>
          <w:top w:val="nil"/>
          <w:left w:val="nil"/>
          <w:bottom w:val="nil"/>
          <w:right w:val="nil"/>
          <w:between w:val="nil"/>
        </w:pBdr>
        <w:spacing w:after="0" w:line="240" w:lineRule="auto"/>
        <w:jc w:val="both"/>
        <w:rPr>
          <w:color w:val="000000"/>
        </w:rPr>
      </w:pPr>
      <w:r>
        <w:rPr>
          <w:color w:val="000000"/>
        </w:rPr>
        <w:t>Copie de la CIN</w:t>
      </w:r>
    </w:p>
    <w:p w:rsidR="00253D21" w:rsidRDefault="00B67520" w:rsidP="009272E2">
      <w:pPr>
        <w:numPr>
          <w:ilvl w:val="0"/>
          <w:numId w:val="4"/>
        </w:numPr>
        <w:pBdr>
          <w:top w:val="nil"/>
          <w:left w:val="nil"/>
          <w:bottom w:val="nil"/>
          <w:right w:val="nil"/>
          <w:between w:val="nil"/>
        </w:pBdr>
        <w:spacing w:after="0" w:line="240" w:lineRule="auto"/>
        <w:jc w:val="both"/>
        <w:rPr>
          <w:color w:val="000000"/>
        </w:rPr>
      </w:pPr>
      <w:r>
        <w:rPr>
          <w:color w:val="000000"/>
        </w:rPr>
        <w:t xml:space="preserve">CV en </w:t>
      </w:r>
      <w:r w:rsidR="002B0655">
        <w:rPr>
          <w:color w:val="000000"/>
        </w:rPr>
        <w:t>f</w:t>
      </w:r>
      <w:r>
        <w:rPr>
          <w:color w:val="000000"/>
        </w:rPr>
        <w:t xml:space="preserve">rançais </w:t>
      </w:r>
    </w:p>
    <w:p w:rsidR="00253D21" w:rsidRDefault="00B67520" w:rsidP="009272E2">
      <w:pPr>
        <w:numPr>
          <w:ilvl w:val="0"/>
          <w:numId w:val="4"/>
        </w:numPr>
        <w:pBdr>
          <w:top w:val="nil"/>
          <w:left w:val="nil"/>
          <w:bottom w:val="nil"/>
          <w:right w:val="nil"/>
          <w:between w:val="nil"/>
        </w:pBdr>
        <w:spacing w:after="0" w:line="240" w:lineRule="auto"/>
        <w:jc w:val="both"/>
        <w:rPr>
          <w:color w:val="000000"/>
        </w:rPr>
      </w:pPr>
      <w:r>
        <w:rPr>
          <w:color w:val="000000"/>
        </w:rPr>
        <w:t>Diplôme le plus pertinent</w:t>
      </w:r>
    </w:p>
    <w:p w:rsidR="00253D21" w:rsidRDefault="00B67520">
      <w:pPr>
        <w:numPr>
          <w:ilvl w:val="0"/>
          <w:numId w:val="1"/>
        </w:numPr>
        <w:pBdr>
          <w:top w:val="nil"/>
          <w:left w:val="nil"/>
          <w:bottom w:val="nil"/>
          <w:right w:val="nil"/>
          <w:between w:val="nil"/>
        </w:pBdr>
        <w:spacing w:after="0" w:line="240" w:lineRule="auto"/>
        <w:jc w:val="both"/>
        <w:rPr>
          <w:color w:val="000000"/>
        </w:rPr>
      </w:pPr>
      <w:r>
        <w:rPr>
          <w:color w:val="000000"/>
        </w:rPr>
        <w:t xml:space="preserve">Projet détaillé d’expatriation et projet </w:t>
      </w:r>
      <w:r w:rsidR="002B0655">
        <w:rPr>
          <w:color w:val="000000"/>
        </w:rPr>
        <w:t xml:space="preserve">détaillé </w:t>
      </w:r>
      <w:r>
        <w:rPr>
          <w:color w:val="000000"/>
        </w:rPr>
        <w:t xml:space="preserve">de retour </w:t>
      </w:r>
      <w:r w:rsidR="002B0655">
        <w:rPr>
          <w:color w:val="000000"/>
        </w:rPr>
        <w:t>dans</w:t>
      </w:r>
      <w:r w:rsidR="00AE32DA">
        <w:rPr>
          <w:color w:val="000000"/>
        </w:rPr>
        <w:t xml:space="preserve"> l’un des formats suivants :</w:t>
      </w:r>
    </w:p>
    <w:p w:rsidR="00253D21" w:rsidRDefault="00B67520">
      <w:pPr>
        <w:numPr>
          <w:ilvl w:val="1"/>
          <w:numId w:val="1"/>
        </w:numPr>
        <w:pBdr>
          <w:top w:val="nil"/>
          <w:left w:val="nil"/>
          <w:bottom w:val="nil"/>
          <w:right w:val="nil"/>
          <w:between w:val="nil"/>
        </w:pBdr>
        <w:spacing w:after="0" w:line="240" w:lineRule="auto"/>
        <w:jc w:val="both"/>
        <w:rPr>
          <w:color w:val="000000"/>
        </w:rPr>
      </w:pPr>
      <w:r>
        <w:rPr>
          <w:color w:val="000000"/>
        </w:rPr>
        <w:t>Vidéo (3 minutes)</w:t>
      </w:r>
    </w:p>
    <w:p w:rsidR="00253D21" w:rsidRDefault="00B67520">
      <w:pPr>
        <w:numPr>
          <w:ilvl w:val="1"/>
          <w:numId w:val="1"/>
        </w:numPr>
        <w:pBdr>
          <w:top w:val="nil"/>
          <w:left w:val="nil"/>
          <w:bottom w:val="nil"/>
          <w:right w:val="nil"/>
          <w:between w:val="nil"/>
        </w:pBdr>
        <w:spacing w:after="0" w:line="240" w:lineRule="auto"/>
        <w:jc w:val="both"/>
        <w:rPr>
          <w:color w:val="000000"/>
        </w:rPr>
      </w:pPr>
      <w:r>
        <w:rPr>
          <w:color w:val="000000"/>
        </w:rPr>
        <w:t>Audio (3 minutes)</w:t>
      </w:r>
    </w:p>
    <w:p w:rsidR="00253D21" w:rsidRDefault="00A761DA" w:rsidP="00A761DA">
      <w:pPr>
        <w:numPr>
          <w:ilvl w:val="1"/>
          <w:numId w:val="1"/>
        </w:numPr>
        <w:pBdr>
          <w:top w:val="nil"/>
          <w:left w:val="nil"/>
          <w:bottom w:val="nil"/>
          <w:right w:val="nil"/>
          <w:between w:val="nil"/>
        </w:pBdr>
        <w:spacing w:after="120" w:line="240" w:lineRule="auto"/>
        <w:jc w:val="both"/>
        <w:rPr>
          <w:color w:val="000000"/>
        </w:rPr>
      </w:pPr>
      <w:r>
        <w:rPr>
          <w:color w:val="000000"/>
        </w:rPr>
        <w:t>Autre d</w:t>
      </w:r>
      <w:r w:rsidR="00B67520">
        <w:rPr>
          <w:color w:val="000000"/>
        </w:rPr>
        <w:t>oc</w:t>
      </w:r>
      <w:r w:rsidR="00B67520">
        <w:t xml:space="preserve">ument en </w:t>
      </w:r>
      <w:proofErr w:type="spellStart"/>
      <w:r w:rsidR="00B67520">
        <w:rPr>
          <w:color w:val="000000"/>
        </w:rPr>
        <w:t>pdf</w:t>
      </w:r>
      <w:proofErr w:type="spellEnd"/>
      <w:r w:rsidR="00B67520">
        <w:rPr>
          <w:color w:val="000000"/>
        </w:rPr>
        <w:t xml:space="preserve"> (5000 mots</w:t>
      </w:r>
      <w:r>
        <w:rPr>
          <w:color w:val="000000"/>
        </w:rPr>
        <w:t xml:space="preserve"> maximum</w:t>
      </w:r>
      <w:r w:rsidR="00B67520">
        <w:rPr>
          <w:color w:val="000000"/>
        </w:rPr>
        <w:t>).</w:t>
      </w:r>
    </w:p>
    <w:p w:rsidR="00253D21" w:rsidRDefault="00B67520" w:rsidP="00A761DA">
      <w:pPr>
        <w:spacing w:after="120" w:line="240" w:lineRule="auto"/>
        <w:jc w:val="both"/>
      </w:pPr>
      <w:r>
        <w:t>Les candidatures présentant des annonces ou de</w:t>
      </w:r>
      <w:r w:rsidR="00A761DA">
        <w:t xml:space="preserve"> la </w:t>
      </w:r>
      <w:r>
        <w:t>publicité ou du contenu inapproprié (contenu choquant, incit</w:t>
      </w:r>
      <w:r w:rsidR="00A761DA">
        <w:t>a</w:t>
      </w:r>
      <w:r>
        <w:t>nt à la haine, à l’intolérance, à la discrimination</w:t>
      </w:r>
      <w:r w:rsidR="00A761DA">
        <w:t xml:space="preserve">, </w:t>
      </w:r>
      <w:r>
        <w:t>à la violence, à la traite des personnes</w:t>
      </w:r>
      <w:r w:rsidR="00A761DA">
        <w:t>…</w:t>
      </w:r>
      <w:r>
        <w:t xml:space="preserve">) seront automatiquement </w:t>
      </w:r>
      <w:r w:rsidR="000B4620">
        <w:t>exclues</w:t>
      </w:r>
      <w:r>
        <w:t xml:space="preserve"> du concours « mon projet d’</w:t>
      </w:r>
      <w:r w:rsidR="000B4620">
        <w:t>expatriation</w:t>
      </w:r>
      <w:r>
        <w:t>, mon projet de retour » et THAMM OFII pourra engager des poursuites à l’encontre de leur auteur.</w:t>
      </w:r>
    </w:p>
    <w:p w:rsidR="00253D21" w:rsidRDefault="00B67520" w:rsidP="00A761DA">
      <w:pPr>
        <w:spacing w:after="120" w:line="240" w:lineRule="auto"/>
        <w:jc w:val="both"/>
      </w:pPr>
      <w:r>
        <w:t>*</w:t>
      </w:r>
      <w:r w:rsidR="000B4620">
        <w:t>L’omission</w:t>
      </w:r>
      <w:r>
        <w:t xml:space="preserve"> d’un des documents susmentionnés en</w:t>
      </w:r>
      <w:r w:rsidR="00A761DA">
        <w:t>traînera</w:t>
      </w:r>
      <w:r>
        <w:t xml:space="preserve"> la disqualification du candidat(e) de la phase de présélection. </w:t>
      </w:r>
    </w:p>
    <w:p w:rsidR="00253D21" w:rsidRDefault="00B67520" w:rsidP="00A761DA">
      <w:pPr>
        <w:spacing w:after="120" w:line="240" w:lineRule="auto"/>
        <w:jc w:val="both"/>
      </w:pPr>
      <w:r>
        <w:t xml:space="preserve">**La </w:t>
      </w:r>
      <w:r w:rsidR="00A761DA">
        <w:t>présentation de faux</w:t>
      </w:r>
      <w:r>
        <w:t xml:space="preserve"> documents </w:t>
      </w:r>
      <w:r w:rsidR="00A761DA">
        <w:t xml:space="preserve">sera </w:t>
      </w:r>
      <w:r>
        <w:t>considérée comme une tentative de fraude et en</w:t>
      </w:r>
      <w:r w:rsidR="00A761DA">
        <w:t>traînera</w:t>
      </w:r>
      <w:r>
        <w:t xml:space="preserve"> la disqualification du candidat(e) de la phase de présélection. </w:t>
      </w:r>
    </w:p>
    <w:p w:rsidR="00253D21" w:rsidRDefault="00253D21">
      <w:pPr>
        <w:spacing w:after="60" w:line="276" w:lineRule="auto"/>
        <w:jc w:val="both"/>
      </w:pPr>
    </w:p>
    <w:p w:rsidR="00253D21" w:rsidRDefault="00B67520">
      <w:pPr>
        <w:spacing w:after="60" w:line="276" w:lineRule="auto"/>
        <w:jc w:val="both"/>
        <w:rPr>
          <w:b/>
        </w:rPr>
      </w:pPr>
      <w:r>
        <w:rPr>
          <w:b/>
        </w:rPr>
        <w:t>ARTICLE 6 – TERMES ET CONDITIONS DE PRÉSENTATION DE LA CANDIDATURE</w:t>
      </w:r>
    </w:p>
    <w:p w:rsidR="00253D21" w:rsidRDefault="00B67520" w:rsidP="00A761DA">
      <w:pPr>
        <w:spacing w:after="120" w:line="240" w:lineRule="auto"/>
        <w:jc w:val="both"/>
      </w:pPr>
      <w:r>
        <w:t>Le dossier de candidature décrit à l’article 5 devra être transmis uniquement via la plateforme du concours</w:t>
      </w:r>
      <w:r w:rsidR="00A761DA">
        <w:t xml:space="preserve"> accessible sur internet</w:t>
      </w:r>
      <w:r>
        <w:t>.</w:t>
      </w:r>
    </w:p>
    <w:p w:rsidR="00253D21" w:rsidRDefault="00B67520" w:rsidP="00A761DA">
      <w:pPr>
        <w:spacing w:after="120" w:line="240" w:lineRule="auto"/>
        <w:jc w:val="both"/>
      </w:pPr>
      <w:r>
        <w:lastRenderedPageBreak/>
        <w:t>L</w:t>
      </w:r>
      <w:r w:rsidR="00A761DA">
        <w:t>a date limite</w:t>
      </w:r>
      <w:r>
        <w:t xml:space="preserve"> de participation est </w:t>
      </w:r>
      <w:r w:rsidR="00A761DA">
        <w:t xml:space="preserve">fixée au </w:t>
      </w:r>
      <w:r>
        <w:t xml:space="preserve"> 31 janvier 2023. </w:t>
      </w:r>
      <w:r w:rsidR="00A761DA">
        <w:t>T</w:t>
      </w:r>
      <w:r>
        <w:t xml:space="preserve">oute candidature doit </w:t>
      </w:r>
      <w:r w:rsidR="00A01842">
        <w:t>être</w:t>
      </w:r>
      <w:r>
        <w:t xml:space="preserve"> envoyée</w:t>
      </w:r>
      <w:r w:rsidRPr="00A761DA">
        <w:t xml:space="preserve"> avant</w:t>
      </w:r>
      <w:r>
        <w:t xml:space="preserve"> le 31 janvier 2023 à minuit</w:t>
      </w:r>
      <w:r w:rsidR="00A761DA">
        <w:t>,</w:t>
      </w:r>
      <w:r>
        <w:t xml:space="preserve"> sous peine de rejet. </w:t>
      </w:r>
    </w:p>
    <w:p w:rsidR="00253D21" w:rsidRDefault="00253D21" w:rsidP="00A761DA">
      <w:pPr>
        <w:spacing w:after="120" w:line="276" w:lineRule="auto"/>
        <w:jc w:val="both"/>
        <w:rPr>
          <w:b/>
        </w:rPr>
      </w:pPr>
    </w:p>
    <w:p w:rsidR="00253D21" w:rsidRDefault="00B67520" w:rsidP="00A761DA">
      <w:pPr>
        <w:spacing w:after="120" w:line="276" w:lineRule="auto"/>
        <w:jc w:val="both"/>
        <w:rPr>
          <w:b/>
        </w:rPr>
      </w:pPr>
      <w:r>
        <w:rPr>
          <w:b/>
        </w:rPr>
        <w:t>ARTICLE 7  - CRITERES D’EVALUATION ET ETAPES DE SELECTIONS DES CANDIDATURES</w:t>
      </w:r>
    </w:p>
    <w:p w:rsidR="00253D21" w:rsidRDefault="00B67520" w:rsidP="00A761DA">
      <w:pPr>
        <w:spacing w:after="120" w:line="276" w:lineRule="auto"/>
        <w:jc w:val="both"/>
        <w:rPr>
          <w:u w:val="single"/>
        </w:rPr>
      </w:pPr>
      <w:r>
        <w:rPr>
          <w:u w:val="single"/>
        </w:rPr>
        <w:t>Première étape :</w:t>
      </w:r>
    </w:p>
    <w:p w:rsidR="00253D21" w:rsidRDefault="00B67520" w:rsidP="00A761DA">
      <w:pPr>
        <w:spacing w:after="120" w:line="276" w:lineRule="auto"/>
        <w:jc w:val="both"/>
      </w:pPr>
      <w:r>
        <w:t xml:space="preserve">Les candidats doivent s’enregistrer sur la plateforme dédiée au concours. </w:t>
      </w:r>
      <w:r w:rsidR="00A761DA">
        <w:t xml:space="preserve">Après </w:t>
      </w:r>
      <w:r>
        <w:t>la clôture de</w:t>
      </w:r>
      <w:r w:rsidR="00AE32DA">
        <w:t>s enregistrements</w:t>
      </w:r>
      <w:r>
        <w:t xml:space="preserve">, une première sélection </w:t>
      </w:r>
      <w:r w:rsidR="00A761DA">
        <w:t xml:space="preserve">sera opérée </w:t>
      </w:r>
      <w:r>
        <w:t xml:space="preserve">par nationalité, date de naissance, </w:t>
      </w:r>
      <w:r w:rsidR="0084502A">
        <w:t>pays</w:t>
      </w:r>
      <w:r w:rsidR="006E2ED6">
        <w:t xml:space="preserve"> de résidence, </w:t>
      </w:r>
      <w:r>
        <w:t>secteur d’activité, niveau de diplôme</w:t>
      </w:r>
      <w:r w:rsidR="006E2ED6">
        <w:t>, date d’obtention du diplôme</w:t>
      </w:r>
      <w:r w:rsidR="00AE32DA">
        <w:t>,</w:t>
      </w:r>
      <w:r>
        <w:t xml:space="preserve"> </w:t>
      </w:r>
      <w:r w:rsidR="006E2ED6">
        <w:t>acceptation de l’</w:t>
      </w:r>
      <w:r>
        <w:t>exploitation des données personnelles</w:t>
      </w:r>
      <w:r w:rsidR="00AE32DA">
        <w:t xml:space="preserve"> et du règlement du concours</w:t>
      </w:r>
      <w:r>
        <w:t>.</w:t>
      </w:r>
    </w:p>
    <w:p w:rsidR="00253D21" w:rsidRDefault="00B67520" w:rsidP="00A761DA">
      <w:pPr>
        <w:spacing w:after="120" w:line="276" w:lineRule="auto"/>
        <w:jc w:val="both"/>
        <w:rPr>
          <w:u w:val="single"/>
        </w:rPr>
      </w:pPr>
      <w:r>
        <w:rPr>
          <w:u w:val="single"/>
        </w:rPr>
        <w:t>Seconde étape :</w:t>
      </w:r>
    </w:p>
    <w:p w:rsidR="00253D21" w:rsidRDefault="00B67520" w:rsidP="00A761DA">
      <w:pPr>
        <w:spacing w:after="120" w:line="276" w:lineRule="auto"/>
        <w:jc w:val="both"/>
      </w:pPr>
      <w:r>
        <w:t xml:space="preserve">La sélection se poursuivra </w:t>
      </w:r>
      <w:r w:rsidR="00A761DA">
        <w:t>après</w:t>
      </w:r>
      <w:r>
        <w:t xml:space="preserve"> la réception des dossiers complets </w:t>
      </w:r>
      <w:r w:rsidR="00DC0A40">
        <w:t>envoyés par l</w:t>
      </w:r>
      <w:r>
        <w:t xml:space="preserve">es candidats présélectionnés </w:t>
      </w:r>
      <w:r w:rsidR="00DC0A40">
        <w:t>lors de</w:t>
      </w:r>
      <w:r>
        <w:t xml:space="preserve"> la première étape.</w:t>
      </w:r>
    </w:p>
    <w:p w:rsidR="00253D21" w:rsidRDefault="00B67520" w:rsidP="00A761DA">
      <w:pPr>
        <w:spacing w:after="120" w:line="276" w:lineRule="auto"/>
        <w:jc w:val="both"/>
      </w:pPr>
      <w:r>
        <w:t xml:space="preserve">Les </w:t>
      </w:r>
      <w:r w:rsidR="0084502A">
        <w:t>4</w:t>
      </w:r>
      <w:r>
        <w:t xml:space="preserve">00 premiers dossiers </w:t>
      </w:r>
      <w:r w:rsidR="006E2ED6">
        <w:t xml:space="preserve">reçus et </w:t>
      </w:r>
      <w:r>
        <w:t>répond</w:t>
      </w:r>
      <w:r w:rsidR="00EA0D0C">
        <w:t>an</w:t>
      </w:r>
      <w:r>
        <w:t xml:space="preserve">t aux critères seront retenus pour la phase suivante. </w:t>
      </w:r>
      <w:r w:rsidR="00DC0A40">
        <w:t>Parmi eux, l</w:t>
      </w:r>
      <w:r>
        <w:t xml:space="preserve">es </w:t>
      </w:r>
      <w:r w:rsidR="006E2ED6">
        <w:t xml:space="preserve">200 </w:t>
      </w:r>
      <w:r w:rsidR="00DC0A40">
        <w:t xml:space="preserve">meilleurs </w:t>
      </w:r>
      <w:r w:rsidR="006E2ED6">
        <w:t xml:space="preserve">candidat(e)s </w:t>
      </w:r>
      <w:r>
        <w:t>seront auditionné(e)s par le biais d</w:t>
      </w:r>
      <w:r w:rsidR="00DC0A40">
        <w:t>’</w:t>
      </w:r>
      <w:r>
        <w:t>entretiens directs ou à distance</w:t>
      </w:r>
      <w:r w:rsidR="00DC0A40">
        <w:t>, sur la base d’un planning et de convocations écrites (courriel ou texto)</w:t>
      </w:r>
      <w:r>
        <w:t>.</w:t>
      </w:r>
      <w:r w:rsidR="0084502A">
        <w:t xml:space="preserve"> </w:t>
      </w:r>
      <w:r w:rsidR="00EA0D0C">
        <w:t xml:space="preserve">Les 200 </w:t>
      </w:r>
      <w:r w:rsidR="00476072">
        <w:t>candidatures restantes</w:t>
      </w:r>
      <w:r w:rsidR="00EA0D0C">
        <w:t xml:space="preserve"> seront </w:t>
      </w:r>
      <w:r w:rsidR="00DC0A40">
        <w:t>gardées en</w:t>
      </w:r>
      <w:r w:rsidR="00EA0D0C">
        <w:t xml:space="preserve"> réserve.</w:t>
      </w:r>
    </w:p>
    <w:p w:rsidR="00253D21" w:rsidRDefault="00B67520" w:rsidP="00A761DA">
      <w:pPr>
        <w:spacing w:after="120" w:line="276" w:lineRule="auto"/>
        <w:jc w:val="both"/>
      </w:pPr>
      <w:r>
        <w:t>Le processus de sélection finale favorisera les candidats porteurs de projets de vie en Tunisie et qui verront dans l’expérience professionnelle en France un moyen d’atteindre cet objectif dans des conditions optimales. Le comité de sélection des candidatures aura, seul, la compétence de choisir les candidatures répond</w:t>
      </w:r>
      <w:r w:rsidR="00B52658">
        <w:t>a</w:t>
      </w:r>
      <w:r>
        <w:t>nt aux critères de sélection susmentionnés</w:t>
      </w:r>
      <w:r w:rsidR="00B52658">
        <w:t xml:space="preserve"> qui lui paraîtront </w:t>
      </w:r>
      <w:r>
        <w:t xml:space="preserve"> les plus pertinentes. </w:t>
      </w:r>
    </w:p>
    <w:p w:rsidR="00253D21" w:rsidRDefault="00B52658" w:rsidP="00A761DA">
      <w:pPr>
        <w:spacing w:after="120" w:line="276" w:lineRule="auto"/>
        <w:jc w:val="both"/>
      </w:pPr>
      <w:r>
        <w:rPr>
          <w:u w:val="single"/>
        </w:rPr>
        <w:t>T</w:t>
      </w:r>
      <w:r w:rsidR="000B4620">
        <w:rPr>
          <w:u w:val="single"/>
        </w:rPr>
        <w:t xml:space="preserve">roisième et </w:t>
      </w:r>
      <w:r w:rsidR="00BC279E">
        <w:rPr>
          <w:u w:val="single"/>
        </w:rPr>
        <w:t>dernière étap</w:t>
      </w:r>
      <w:r w:rsidR="00B67520">
        <w:rPr>
          <w:u w:val="single"/>
        </w:rPr>
        <w:t>e</w:t>
      </w:r>
      <w:r w:rsidR="00B67520">
        <w:t> :</w:t>
      </w:r>
    </w:p>
    <w:p w:rsidR="00253D21" w:rsidRDefault="00B67520" w:rsidP="00B52658">
      <w:pPr>
        <w:spacing w:after="120" w:line="240" w:lineRule="auto"/>
        <w:jc w:val="both"/>
      </w:pPr>
      <w:r>
        <w:t xml:space="preserve">Les 200 candidats retenus seront mis en relation avec des employeurs en France. Les  </w:t>
      </w:r>
      <w:r w:rsidR="00B52658">
        <w:t xml:space="preserve">lauréats du concours seront les 32 </w:t>
      </w:r>
      <w:r>
        <w:t xml:space="preserve">premières candidatures retenues par un employeur. Ils bénéficieront d’un accompagnement </w:t>
      </w:r>
      <w:r w:rsidR="00B52658">
        <w:t xml:space="preserve">et d’une aide </w:t>
      </w:r>
      <w:r>
        <w:t>financi</w:t>
      </w:r>
      <w:r w:rsidR="00B52658">
        <w:t xml:space="preserve">ère à l’installation </w:t>
      </w:r>
      <w:r>
        <w:t xml:space="preserve"> en France qui consiste</w:t>
      </w:r>
      <w:r w:rsidR="00B52658">
        <w:t>ra</w:t>
      </w:r>
      <w:r>
        <w:t xml:space="preserve"> en: </w:t>
      </w:r>
    </w:p>
    <w:p w:rsidR="00253D21" w:rsidRDefault="00B67520" w:rsidP="00B52658">
      <w:pPr>
        <w:numPr>
          <w:ilvl w:val="0"/>
          <w:numId w:val="3"/>
        </w:numPr>
        <w:spacing w:after="0" w:line="240" w:lineRule="auto"/>
        <w:ind w:left="714" w:hanging="357"/>
        <w:jc w:val="both"/>
      </w:pPr>
      <w:r>
        <w:t xml:space="preserve">Un billet d’avion </w:t>
      </w:r>
      <w:proofErr w:type="gramStart"/>
      <w:r w:rsidR="00BC279E">
        <w:t>all</w:t>
      </w:r>
      <w:r w:rsidR="00B52658">
        <w:t>er</w:t>
      </w:r>
      <w:proofErr w:type="gramEnd"/>
      <w:r>
        <w:t xml:space="preserve"> simple,</w:t>
      </w:r>
    </w:p>
    <w:p w:rsidR="00253D21" w:rsidRDefault="00B52658" w:rsidP="00B52658">
      <w:pPr>
        <w:numPr>
          <w:ilvl w:val="0"/>
          <w:numId w:val="3"/>
        </w:numPr>
        <w:spacing w:after="120" w:line="240" w:lineRule="auto"/>
        <w:jc w:val="both"/>
      </w:pPr>
      <w:r>
        <w:t>Un pécule dont l’emploi devra être justifié par des factures (à</w:t>
      </w:r>
      <w:r w:rsidR="00BC279E">
        <w:t xml:space="preserve"> partir de 3</w:t>
      </w:r>
      <w:r w:rsidR="00B67520">
        <w:t> 000 euros par candidat</w:t>
      </w:r>
      <w:r>
        <w:t>)</w:t>
      </w:r>
      <w:r w:rsidR="00B67520">
        <w:t>.</w:t>
      </w:r>
    </w:p>
    <w:p w:rsidR="00253D21" w:rsidRDefault="00B67520" w:rsidP="00B52658">
      <w:pPr>
        <w:spacing w:after="120" w:line="240" w:lineRule="auto"/>
        <w:jc w:val="both"/>
      </w:pPr>
      <w:r>
        <w:t>Les autres candidats</w:t>
      </w:r>
      <w:r w:rsidR="00B52658">
        <w:t xml:space="preserve"> pourront être sélectionnés ultérieurement par un employeur sans </w:t>
      </w:r>
      <w:r w:rsidR="00FD01F5">
        <w:t xml:space="preserve">bénéficier de l’aide financière à l’installation. </w:t>
      </w:r>
      <w:r w:rsidR="00B52658">
        <w:t xml:space="preserve"> </w:t>
      </w:r>
      <w:r>
        <w:t>L</w:t>
      </w:r>
      <w:r w:rsidR="00FD01F5">
        <w:t>a</w:t>
      </w:r>
      <w:r>
        <w:t xml:space="preserve"> liste des 200 candidats retenus</w:t>
      </w:r>
      <w:r w:rsidR="00FD01F5">
        <w:t>,</w:t>
      </w:r>
      <w:r>
        <w:t xml:space="preserve"> </w:t>
      </w:r>
      <w:r w:rsidR="00BC279E">
        <w:t>y compris les</w:t>
      </w:r>
      <w:r>
        <w:t xml:space="preserve"> 32 lauréats</w:t>
      </w:r>
      <w:r w:rsidR="00FD01F5">
        <w:t>,</w:t>
      </w:r>
      <w:r>
        <w:t xml:space="preserve"> ser</w:t>
      </w:r>
      <w:r w:rsidR="00FD01F5">
        <w:t>a</w:t>
      </w:r>
      <w:r>
        <w:t xml:space="preserve"> publiée</w:t>
      </w:r>
      <w:r w:rsidR="00FD01F5">
        <w:t xml:space="preserve"> en présence d’un huissier notaire</w:t>
      </w:r>
      <w:r>
        <w:t xml:space="preserve"> sur le site de THAMM OFII</w:t>
      </w:r>
      <w:r w:rsidR="00FD01F5">
        <w:t xml:space="preserve">, </w:t>
      </w:r>
      <w:r>
        <w:t xml:space="preserve">sur sa page </w:t>
      </w:r>
      <w:proofErr w:type="spellStart"/>
      <w:r>
        <w:t>f</w:t>
      </w:r>
      <w:r w:rsidR="00AC2342">
        <w:t>ace</w:t>
      </w:r>
      <w:r>
        <w:t>b</w:t>
      </w:r>
      <w:r w:rsidR="00AC2342">
        <w:t>ook</w:t>
      </w:r>
      <w:proofErr w:type="spellEnd"/>
      <w:r w:rsidR="00FD01F5">
        <w:t>,</w:t>
      </w:r>
      <w:r>
        <w:t xml:space="preserve"> ainsi qu</w:t>
      </w:r>
      <w:r w:rsidR="00AC2342">
        <w:t>e sur la plateforme du concours.</w:t>
      </w:r>
    </w:p>
    <w:p w:rsidR="00253D21" w:rsidRDefault="00B67520">
      <w:pPr>
        <w:spacing w:after="60" w:line="276" w:lineRule="auto"/>
        <w:jc w:val="both"/>
      </w:pPr>
      <w:r>
        <w:t xml:space="preserve">La participation des femmes est fortement encouragée. </w:t>
      </w:r>
      <w:r w:rsidR="00595735">
        <w:t>Au moins u</w:t>
      </w:r>
      <w:r>
        <w:t xml:space="preserve">n tiers des candidatures retenues seront des candidatures présentées par des femmes. </w:t>
      </w:r>
    </w:p>
    <w:p w:rsidR="00253D21" w:rsidRDefault="00253D21">
      <w:pPr>
        <w:spacing w:after="60" w:line="276" w:lineRule="auto"/>
        <w:jc w:val="both"/>
        <w:rPr>
          <w:b/>
        </w:rPr>
      </w:pPr>
    </w:p>
    <w:p w:rsidR="00253D21" w:rsidRDefault="00B67520">
      <w:pPr>
        <w:spacing w:after="60" w:line="276" w:lineRule="auto"/>
        <w:jc w:val="both"/>
        <w:rPr>
          <w:b/>
        </w:rPr>
      </w:pPr>
      <w:r>
        <w:rPr>
          <w:b/>
        </w:rPr>
        <w:t>ARTICLE 8 – MOTIFS D’EXCLUSION</w:t>
      </w:r>
    </w:p>
    <w:p w:rsidR="00253D21" w:rsidRDefault="00B67520" w:rsidP="00595735">
      <w:pPr>
        <w:spacing w:after="120" w:line="240" w:lineRule="auto"/>
        <w:jc w:val="both"/>
      </w:pPr>
      <w:r>
        <w:t xml:space="preserve">Les motifs d’exclusion des candidats sont les suivants (la présence d’un seul motif suffira pour </w:t>
      </w:r>
      <w:r w:rsidR="00595735">
        <w:t xml:space="preserve">justifier </w:t>
      </w:r>
      <w:r>
        <w:t xml:space="preserve">l’exclusion): </w:t>
      </w:r>
    </w:p>
    <w:p w:rsidR="00253D21" w:rsidRDefault="00B67520">
      <w:pPr>
        <w:numPr>
          <w:ilvl w:val="0"/>
          <w:numId w:val="1"/>
        </w:numPr>
        <w:pBdr>
          <w:top w:val="nil"/>
          <w:left w:val="nil"/>
          <w:bottom w:val="nil"/>
          <w:right w:val="nil"/>
          <w:between w:val="nil"/>
        </w:pBdr>
        <w:spacing w:after="0" w:line="276" w:lineRule="auto"/>
        <w:jc w:val="both"/>
      </w:pPr>
      <w:r>
        <w:rPr>
          <w:color w:val="000000"/>
        </w:rPr>
        <w:t>Un dossier de candidature incomplet</w:t>
      </w:r>
      <w:r w:rsidR="00595735">
        <w:rPr>
          <w:color w:val="000000"/>
        </w:rPr>
        <w:t xml:space="preserve"> (respect de l’article 5 de cet avis)</w:t>
      </w:r>
      <w:r>
        <w:t xml:space="preserve">. </w:t>
      </w:r>
    </w:p>
    <w:p w:rsidR="00253D21" w:rsidRDefault="00B67520">
      <w:pPr>
        <w:numPr>
          <w:ilvl w:val="0"/>
          <w:numId w:val="1"/>
        </w:numPr>
        <w:pBdr>
          <w:top w:val="nil"/>
          <w:left w:val="nil"/>
          <w:bottom w:val="nil"/>
          <w:right w:val="nil"/>
          <w:between w:val="nil"/>
        </w:pBdr>
        <w:spacing w:after="0" w:line="276" w:lineRule="auto"/>
        <w:jc w:val="both"/>
      </w:pPr>
      <w:r>
        <w:rPr>
          <w:color w:val="000000"/>
        </w:rPr>
        <w:t xml:space="preserve">Le </w:t>
      </w:r>
      <w:r w:rsidR="000B4620">
        <w:rPr>
          <w:color w:val="000000"/>
        </w:rPr>
        <w:t>non-respect</w:t>
      </w:r>
      <w:r>
        <w:rPr>
          <w:color w:val="000000"/>
        </w:rPr>
        <w:t xml:space="preserve"> des conditions indiquées à l’article 4 de cet avis</w:t>
      </w:r>
      <w:r>
        <w:t>.</w:t>
      </w:r>
    </w:p>
    <w:p w:rsidR="00253D21" w:rsidRDefault="00B67520">
      <w:pPr>
        <w:numPr>
          <w:ilvl w:val="0"/>
          <w:numId w:val="1"/>
        </w:numPr>
        <w:pBdr>
          <w:top w:val="nil"/>
          <w:left w:val="nil"/>
          <w:bottom w:val="nil"/>
          <w:right w:val="nil"/>
          <w:between w:val="nil"/>
        </w:pBdr>
        <w:spacing w:after="0" w:line="276" w:lineRule="auto"/>
        <w:jc w:val="both"/>
      </w:pPr>
      <w:r>
        <w:rPr>
          <w:color w:val="000000"/>
        </w:rPr>
        <w:t xml:space="preserve">La présentation de documents non conformes </w:t>
      </w:r>
      <w:r>
        <w:t>ou falsifiés.</w:t>
      </w:r>
    </w:p>
    <w:p w:rsidR="00253D21" w:rsidRDefault="00B67520">
      <w:pPr>
        <w:numPr>
          <w:ilvl w:val="0"/>
          <w:numId w:val="1"/>
        </w:numPr>
        <w:pBdr>
          <w:top w:val="nil"/>
          <w:left w:val="nil"/>
          <w:bottom w:val="nil"/>
          <w:right w:val="nil"/>
          <w:between w:val="nil"/>
        </w:pBdr>
        <w:spacing w:after="0" w:line="276" w:lineRule="auto"/>
        <w:jc w:val="both"/>
      </w:pPr>
      <w:r>
        <w:lastRenderedPageBreak/>
        <w:t xml:space="preserve">La </w:t>
      </w:r>
      <w:r w:rsidR="00476072">
        <w:t>non-conformité</w:t>
      </w:r>
      <w:r>
        <w:t xml:space="preserve"> entre les informations mentionnées dans le formulaire d’inscription et les informations mentionnées dans les documents envoyés.</w:t>
      </w:r>
    </w:p>
    <w:p w:rsidR="00253D21" w:rsidRDefault="00B67520">
      <w:pPr>
        <w:numPr>
          <w:ilvl w:val="0"/>
          <w:numId w:val="1"/>
        </w:numPr>
        <w:pBdr>
          <w:top w:val="nil"/>
          <w:left w:val="nil"/>
          <w:bottom w:val="nil"/>
          <w:right w:val="nil"/>
          <w:between w:val="nil"/>
        </w:pBdr>
        <w:spacing w:after="60" w:line="276" w:lineRule="auto"/>
        <w:jc w:val="both"/>
      </w:pPr>
      <w:r>
        <w:rPr>
          <w:color w:val="000000"/>
        </w:rPr>
        <w:t>La présentation de</w:t>
      </w:r>
      <w:r>
        <w:t xml:space="preserve"> plus </w:t>
      </w:r>
      <w:r w:rsidR="00595735">
        <w:t>d</w:t>
      </w:r>
      <w:r>
        <w:t>’une seule candidature</w:t>
      </w:r>
      <w:r>
        <w:rPr>
          <w:color w:val="000000"/>
        </w:rPr>
        <w:t xml:space="preserve"> par l</w:t>
      </w:r>
      <w:r w:rsidR="00595735">
        <w:rPr>
          <w:color w:val="000000"/>
        </w:rPr>
        <w:t>a même personne</w:t>
      </w:r>
      <w:r w:rsidR="00AC2342">
        <w:rPr>
          <w:color w:val="000000"/>
        </w:rPr>
        <w:t>.</w:t>
      </w:r>
    </w:p>
    <w:p w:rsidR="00253D21" w:rsidRDefault="00253D21">
      <w:pPr>
        <w:spacing w:after="60" w:line="276" w:lineRule="auto"/>
        <w:jc w:val="both"/>
      </w:pPr>
    </w:p>
    <w:p w:rsidR="00253D21" w:rsidRDefault="00B67520" w:rsidP="00595735">
      <w:pPr>
        <w:spacing w:after="120" w:line="240" w:lineRule="auto"/>
        <w:jc w:val="both"/>
        <w:rPr>
          <w:b/>
        </w:rPr>
      </w:pPr>
      <w:r>
        <w:rPr>
          <w:b/>
        </w:rPr>
        <w:t>ARTICLE 9 – PUBLICITE</w:t>
      </w:r>
    </w:p>
    <w:p w:rsidR="00253D21" w:rsidRDefault="00B67520" w:rsidP="00595735">
      <w:pPr>
        <w:spacing w:after="120" w:line="240" w:lineRule="auto"/>
        <w:jc w:val="both"/>
      </w:pPr>
      <w:r>
        <w:t>Le concours sera promu à travers les canaux du projet THAMM OFII et de ses partenaires</w:t>
      </w:r>
      <w:r w:rsidR="00595735">
        <w:t>, notamment l’Agence tunisienne de formation professionnelle et le ministère de l’Enseignement supérieur et de la Recherche scientifique</w:t>
      </w:r>
      <w:r>
        <w:t xml:space="preserve">. </w:t>
      </w:r>
    </w:p>
    <w:p w:rsidR="00253D21" w:rsidRDefault="00B67520" w:rsidP="00595735">
      <w:pPr>
        <w:spacing w:after="120" w:line="240" w:lineRule="auto"/>
        <w:jc w:val="both"/>
      </w:pPr>
      <w:r>
        <w:t>L’équipe projet conduira en outre une campagne de sensibilisation aux avantages du contrat "jeune professionnel" dans de</w:t>
      </w:r>
      <w:r w:rsidR="00595735">
        <w:t>s</w:t>
      </w:r>
      <w:r>
        <w:t xml:space="preserve"> centres de formation professionnelle </w:t>
      </w:r>
      <w:r w:rsidR="00595735">
        <w:t xml:space="preserve">publics </w:t>
      </w:r>
      <w:r>
        <w:t xml:space="preserve">ainsi que dans </w:t>
      </w:r>
      <w:r w:rsidR="00595735">
        <w:t xml:space="preserve">des </w:t>
      </w:r>
      <w:proofErr w:type="spellStart"/>
      <w:r w:rsidR="000B4620">
        <w:t>I</w:t>
      </w:r>
      <w:r>
        <w:t>SETs</w:t>
      </w:r>
      <w:proofErr w:type="spellEnd"/>
      <w:r>
        <w:t xml:space="preserve"> qui seront choisis en fonction de la compatibilité des formations dispensées avec le contrat JP. Cette campagne permettra de toucher </w:t>
      </w:r>
      <w:r w:rsidR="00AC2342">
        <w:t>le personnel  d’</w:t>
      </w:r>
      <w:r>
        <w:t xml:space="preserve">encadrement, les équipes enseignantes et les apprenants, en utilisant des supports de communication adaptés. </w:t>
      </w:r>
    </w:p>
    <w:p w:rsidR="00253D21" w:rsidRDefault="00A741DA" w:rsidP="00595735">
      <w:pPr>
        <w:spacing w:after="120" w:line="240" w:lineRule="auto"/>
        <w:jc w:val="both"/>
      </w:pPr>
      <w:r>
        <w:t>Q</w:t>
      </w:r>
      <w:r w:rsidR="00B67520">
        <w:t xml:space="preserve">uatre </w:t>
      </w:r>
      <w:r w:rsidR="000B4620">
        <w:t>premiers</w:t>
      </w:r>
      <w:r w:rsidR="00B67520">
        <w:t xml:space="preserve"> centres de formation professionnelle et </w:t>
      </w:r>
      <w:proofErr w:type="spellStart"/>
      <w:r w:rsidR="00B67520">
        <w:t>ISET</w:t>
      </w:r>
      <w:r>
        <w:t>s</w:t>
      </w:r>
      <w:proofErr w:type="spellEnd"/>
      <w:r>
        <w:t xml:space="preserve"> seront le lieu d’une communication directe pendant le 4</w:t>
      </w:r>
      <w:r w:rsidRPr="00A741DA">
        <w:rPr>
          <w:vertAlign w:val="superscript"/>
        </w:rPr>
        <w:t>ème</w:t>
      </w:r>
      <w:r>
        <w:t xml:space="preserve"> </w:t>
      </w:r>
      <w:r w:rsidR="00B67520">
        <w:t>trimestre 2022 :</w:t>
      </w:r>
    </w:p>
    <w:tbl>
      <w:tblPr>
        <w:tblStyle w:val="a0"/>
        <w:tblW w:w="4248" w:type="dxa"/>
        <w:tblInd w:w="0" w:type="dxa"/>
        <w:tblLayout w:type="fixed"/>
        <w:tblLook w:val="0400" w:firstRow="0" w:lastRow="0" w:firstColumn="0" w:lastColumn="0" w:noHBand="0" w:noVBand="1"/>
      </w:tblPr>
      <w:tblGrid>
        <w:gridCol w:w="1980"/>
        <w:gridCol w:w="2268"/>
      </w:tblGrid>
      <w:tr w:rsidR="00253D21" w:rsidRPr="00A741DA" w:rsidTr="00A741DA">
        <w:trPr>
          <w:trHeight w:val="632"/>
        </w:trPr>
        <w:tc>
          <w:tcPr>
            <w:tcW w:w="1980" w:type="dxa"/>
          </w:tcPr>
          <w:p w:rsidR="00253D21" w:rsidRPr="00A741DA" w:rsidRDefault="00B67520">
            <w:pPr>
              <w:spacing w:after="0" w:line="240" w:lineRule="auto"/>
            </w:pPr>
            <w:bookmarkStart w:id="3" w:name="_heading=h.1fob9te" w:colFirst="0" w:colLast="0"/>
            <w:bookmarkEnd w:id="3"/>
            <w:r w:rsidRPr="00A741DA">
              <w:t xml:space="preserve">Visite des CFP : </w:t>
            </w:r>
          </w:p>
          <w:p w:rsidR="00253D21" w:rsidRPr="00A741DA" w:rsidRDefault="00B67520">
            <w:pPr>
              <w:spacing w:after="0" w:line="240" w:lineRule="auto"/>
            </w:pPr>
            <w:r w:rsidRPr="00A741DA">
              <w:t>20/10 : Tabarka</w:t>
            </w:r>
          </w:p>
          <w:p w:rsidR="00253D21" w:rsidRPr="00A741DA" w:rsidRDefault="00B67520">
            <w:pPr>
              <w:spacing w:after="0" w:line="240" w:lineRule="auto"/>
            </w:pPr>
            <w:r w:rsidRPr="00A741DA">
              <w:t xml:space="preserve">27/10 : </w:t>
            </w:r>
            <w:proofErr w:type="spellStart"/>
            <w:r w:rsidRPr="00A741DA">
              <w:t>Moknine</w:t>
            </w:r>
            <w:proofErr w:type="spellEnd"/>
          </w:p>
          <w:p w:rsidR="00253D21" w:rsidRPr="00A741DA" w:rsidRDefault="00B67520">
            <w:pPr>
              <w:spacing w:after="0" w:line="240" w:lineRule="auto"/>
            </w:pPr>
            <w:r w:rsidRPr="00A741DA">
              <w:t>15/11 : Médenine</w:t>
            </w:r>
          </w:p>
          <w:p w:rsidR="00253D21" w:rsidRPr="00A741DA" w:rsidRDefault="00B67520">
            <w:pPr>
              <w:spacing w:after="0" w:line="240" w:lineRule="auto"/>
            </w:pPr>
            <w:r w:rsidRPr="00A741DA">
              <w:t>24/11 : Tunis</w:t>
            </w:r>
          </w:p>
        </w:tc>
        <w:tc>
          <w:tcPr>
            <w:tcW w:w="2268" w:type="dxa"/>
          </w:tcPr>
          <w:p w:rsidR="00253D21" w:rsidRPr="00A741DA" w:rsidRDefault="00B67520">
            <w:pPr>
              <w:spacing w:after="0" w:line="240" w:lineRule="auto"/>
              <w:ind w:right="-250"/>
              <w:jc w:val="both"/>
            </w:pPr>
            <w:r w:rsidRPr="00A741DA">
              <w:t xml:space="preserve">Visite des </w:t>
            </w:r>
            <w:proofErr w:type="spellStart"/>
            <w:r w:rsidRPr="00A741DA">
              <w:t>ISETs</w:t>
            </w:r>
            <w:proofErr w:type="spellEnd"/>
            <w:r w:rsidRPr="00A741DA">
              <w:t> :</w:t>
            </w:r>
          </w:p>
          <w:p w:rsidR="00253D21" w:rsidRPr="00A741DA" w:rsidRDefault="00B67520">
            <w:pPr>
              <w:spacing w:after="0" w:line="240" w:lineRule="auto"/>
            </w:pPr>
            <w:r w:rsidRPr="00A741DA">
              <w:t>19/10 : Jendouba</w:t>
            </w:r>
          </w:p>
          <w:p w:rsidR="00253D21" w:rsidRPr="00A741DA" w:rsidRDefault="00B67520">
            <w:pPr>
              <w:spacing w:after="0" w:line="240" w:lineRule="auto"/>
            </w:pPr>
            <w:r w:rsidRPr="00A741DA">
              <w:t>26/10 : Sousse</w:t>
            </w:r>
          </w:p>
          <w:p w:rsidR="00253D21" w:rsidRPr="00A741DA" w:rsidRDefault="00B67520">
            <w:pPr>
              <w:spacing w:after="0" w:line="240" w:lineRule="auto"/>
            </w:pPr>
            <w:r w:rsidRPr="00A741DA">
              <w:t>16/11 : Médenine</w:t>
            </w:r>
          </w:p>
          <w:p w:rsidR="00253D21" w:rsidRPr="00A741DA" w:rsidRDefault="00B67520">
            <w:pPr>
              <w:spacing w:after="0" w:line="240" w:lineRule="auto"/>
              <w:ind w:right="-250"/>
              <w:jc w:val="both"/>
            </w:pPr>
            <w:r w:rsidRPr="00A741DA">
              <w:t>23/11 : Tunis</w:t>
            </w:r>
          </w:p>
        </w:tc>
      </w:tr>
    </w:tbl>
    <w:p w:rsidR="00A741DA" w:rsidRDefault="00A741DA" w:rsidP="00A741DA">
      <w:pPr>
        <w:spacing w:after="120" w:line="240" w:lineRule="auto"/>
        <w:jc w:val="both"/>
        <w:rPr>
          <w:b/>
        </w:rPr>
      </w:pPr>
    </w:p>
    <w:p w:rsidR="00253D21" w:rsidRDefault="00B67520" w:rsidP="00A741DA">
      <w:pPr>
        <w:spacing w:after="120" w:line="240" w:lineRule="auto"/>
        <w:jc w:val="both"/>
        <w:rPr>
          <w:b/>
        </w:rPr>
      </w:pPr>
      <w:r>
        <w:rPr>
          <w:b/>
        </w:rPr>
        <w:t>ARTICLE 10 – PROTECTION DES DONNÉES PERSONNELLES</w:t>
      </w:r>
    </w:p>
    <w:p w:rsidR="00253D21" w:rsidRDefault="00B67520" w:rsidP="00A741DA">
      <w:pPr>
        <w:spacing w:after="120" w:line="240" w:lineRule="auto"/>
        <w:jc w:val="both"/>
      </w:pPr>
      <w:r>
        <w:t>Les candidats donnent au projet THAMM OFII l</w:t>
      </w:r>
      <w:r w:rsidR="00A741DA">
        <w:t>’autorisation</w:t>
      </w:r>
      <w:r>
        <w:t xml:space="preserve"> d’utiliser les informations qu’ils auront fournies dans leurs dossiers de candidature (dont leurs informations personnelles) dans le cadre de la gestion et </w:t>
      </w:r>
      <w:r w:rsidR="00A741DA">
        <w:t xml:space="preserve">de </w:t>
      </w:r>
      <w:r>
        <w:t>l’évaluation des candidatures et pour toute autre finalité relative à cet avis de concours. Le projet THAMM OFII peut partager ces infor</w:t>
      </w:r>
      <w:r w:rsidR="000B4620">
        <w:t>mations avec les membres de son</w:t>
      </w:r>
      <w:r>
        <w:t xml:space="preserve"> équipe à des fins de sélection et d’évaluation.</w:t>
      </w:r>
    </w:p>
    <w:p w:rsidR="00253D21" w:rsidRDefault="00B67520" w:rsidP="00A741DA">
      <w:pPr>
        <w:spacing w:after="120" w:line="240" w:lineRule="auto"/>
        <w:jc w:val="both"/>
      </w:pPr>
      <w:r>
        <w:t>L’équipe du projet THAMM OFII garanti</w:t>
      </w:r>
      <w:r w:rsidR="00A741DA">
        <w:t>t</w:t>
      </w:r>
      <w:r>
        <w:t xml:space="preserve"> une grande discrétion sur les informations fournies par les candidats, en particulier sur les idées des projets de retour.</w:t>
      </w:r>
      <w:r w:rsidR="00A741DA">
        <w:t xml:space="preserve"> </w:t>
      </w:r>
      <w:r>
        <w:t xml:space="preserve">En ce sens, les membres de l’équipe ayant accès aux informations souscriront un accord de confidentialité dédouanant le projet THAMM OFII d’une quelconque responsabilité </w:t>
      </w:r>
      <w:r w:rsidR="00A741DA">
        <w:t>dans</w:t>
      </w:r>
      <w:r>
        <w:t xml:space="preserve"> le respect des données personnelles concernant le contenu d</w:t>
      </w:r>
      <w:r w:rsidR="00AC2342">
        <w:t>u projet de vie soumis</w:t>
      </w:r>
      <w:r>
        <w:t>.</w:t>
      </w:r>
    </w:p>
    <w:p w:rsidR="00253D21" w:rsidRDefault="00B67520" w:rsidP="00A741DA">
      <w:pPr>
        <w:spacing w:after="120" w:line="240" w:lineRule="auto"/>
        <w:jc w:val="both"/>
      </w:pPr>
      <w:r>
        <w:t>Toutes les données personnelles seront conservées par THAMM OFII</w:t>
      </w:r>
      <w:r w:rsidR="00A741DA">
        <w:t>,</w:t>
      </w:r>
      <w:r>
        <w:t xml:space="preserve"> garant du traitement des données personnelles.</w:t>
      </w:r>
    </w:p>
    <w:p w:rsidR="00253D21" w:rsidRDefault="00B67520" w:rsidP="00A741DA">
      <w:pPr>
        <w:spacing w:after="120" w:line="240" w:lineRule="auto"/>
        <w:jc w:val="both"/>
      </w:pPr>
      <w:r>
        <w:t>Les données personnelles fournies dans le cadre du concours et dans le but de sélection s</w:t>
      </w:r>
      <w:r w:rsidR="00A741DA">
        <w:t>er</w:t>
      </w:r>
      <w:r>
        <w:t xml:space="preserve">ont collectées et traitées en conformité  </w:t>
      </w:r>
      <w:r w:rsidR="00A741DA">
        <w:t>avec</w:t>
      </w:r>
      <w:r>
        <w:t xml:space="preserve"> l’art.13 du règlement UE2016/679 et des normes </w:t>
      </w:r>
      <w:r w:rsidR="00A741DA">
        <w:t>t</w:t>
      </w:r>
      <w:r>
        <w:t>unisiennes</w:t>
      </w:r>
      <w:r w:rsidR="00A741DA">
        <w:t>, notamment</w:t>
      </w:r>
      <w:r>
        <w:t xml:space="preserve"> la loi n°493 du 20 juin 2018 relative à la protection des données personnelles et ses textes d’application.</w:t>
      </w:r>
    </w:p>
    <w:p w:rsidR="00253D21" w:rsidRDefault="00253D21" w:rsidP="00A741DA">
      <w:pPr>
        <w:spacing w:after="120" w:line="240" w:lineRule="auto"/>
        <w:jc w:val="both"/>
      </w:pPr>
    </w:p>
    <w:p w:rsidR="00253D21" w:rsidRDefault="00B67520" w:rsidP="00A741DA">
      <w:pPr>
        <w:spacing w:after="120" w:line="240" w:lineRule="auto"/>
        <w:jc w:val="both"/>
      </w:pPr>
      <w:r>
        <w:rPr>
          <w:b/>
        </w:rPr>
        <w:t>ARTICLE 11 – MODIFICATION ET ANNULATION DU CONCOURS</w:t>
      </w:r>
    </w:p>
    <w:p w:rsidR="00253D21" w:rsidRDefault="00B67520" w:rsidP="00A741DA">
      <w:pPr>
        <w:spacing w:after="120" w:line="240" w:lineRule="auto"/>
        <w:jc w:val="both"/>
      </w:pPr>
      <w:r>
        <w:t>THAMM OFII peut annuler cet avis de concours ou en modifier les termes et les conditions à n’importe quel moment. Les éventuelles modifications seront publiées sur le site du projet.</w:t>
      </w:r>
    </w:p>
    <w:p w:rsidR="00253D21" w:rsidRDefault="00B67520" w:rsidP="00A741DA">
      <w:pPr>
        <w:spacing w:after="120" w:line="240" w:lineRule="auto"/>
        <w:jc w:val="both"/>
      </w:pPr>
      <w:r>
        <w:t>THAMM OFII se réserve le droit de suspendre le présent avis de concours à n’importe quel moment et d’en modifier la forme et la substance, délais et événements, lieux et spécificités, bénéfices et prix.</w:t>
      </w:r>
    </w:p>
    <w:p w:rsidR="00253D21" w:rsidRDefault="00B67520" w:rsidP="00A741DA">
      <w:pPr>
        <w:spacing w:after="120" w:line="240" w:lineRule="auto"/>
        <w:jc w:val="both"/>
      </w:pPr>
      <w:r>
        <w:t>THAMM OFII se réserve le droit de ne pas attribuer de prix pour les 32 lauréats.</w:t>
      </w:r>
    </w:p>
    <w:p w:rsidR="00253D21" w:rsidRDefault="00253D21" w:rsidP="00A741DA">
      <w:pPr>
        <w:spacing w:after="120" w:line="240" w:lineRule="auto"/>
        <w:jc w:val="both"/>
      </w:pPr>
    </w:p>
    <w:p w:rsidR="00253D21" w:rsidRDefault="00B67520" w:rsidP="00A741DA">
      <w:pPr>
        <w:spacing w:after="120" w:line="240" w:lineRule="auto"/>
        <w:jc w:val="both"/>
      </w:pPr>
      <w:r>
        <w:rPr>
          <w:b/>
        </w:rPr>
        <w:lastRenderedPageBreak/>
        <w:t>ARTICLE 12 – OBLIGATION DES CANDIDATS</w:t>
      </w:r>
    </w:p>
    <w:p w:rsidR="00253D21" w:rsidRDefault="00B67520" w:rsidP="00A741DA">
      <w:pPr>
        <w:spacing w:after="120" w:line="240" w:lineRule="auto"/>
        <w:jc w:val="both"/>
      </w:pPr>
      <w:r>
        <w:t xml:space="preserve">La participation au concours « mon projet d’expatriation, mon projet de retour » par le dépôt du dossier en ligne entraîne l’acceptation </w:t>
      </w:r>
      <w:r w:rsidR="00A741DA">
        <w:t xml:space="preserve">sans réserve </w:t>
      </w:r>
      <w:r>
        <w:t xml:space="preserve">des dispositions mentionnées dans </w:t>
      </w:r>
      <w:r w:rsidR="000B4620">
        <w:t>l</w:t>
      </w:r>
      <w:r w:rsidR="00423F23">
        <w:t xml:space="preserve">e présent </w:t>
      </w:r>
      <w:r w:rsidR="000B4620">
        <w:t>avis</w:t>
      </w:r>
      <w:r>
        <w:t xml:space="preserve"> d</w:t>
      </w:r>
      <w:r w:rsidR="00423F23">
        <w:t>e</w:t>
      </w:r>
      <w:r>
        <w:t xml:space="preserve"> concours</w:t>
      </w:r>
      <w:r w:rsidR="00423F23">
        <w:t xml:space="preserve"> ainsi que du règlement dans son intégralité</w:t>
      </w:r>
      <w:r>
        <w:t>.</w:t>
      </w:r>
    </w:p>
    <w:p w:rsidR="00253D21" w:rsidRDefault="00253D21" w:rsidP="00A741DA">
      <w:pPr>
        <w:spacing w:after="120" w:line="240" w:lineRule="auto"/>
        <w:jc w:val="both"/>
        <w:rPr>
          <w:b/>
        </w:rPr>
      </w:pPr>
    </w:p>
    <w:p w:rsidR="00253D21" w:rsidRDefault="00B67520" w:rsidP="00A741DA">
      <w:pPr>
        <w:spacing w:after="120" w:line="240" w:lineRule="auto"/>
        <w:jc w:val="both"/>
        <w:rPr>
          <w:b/>
        </w:rPr>
      </w:pPr>
      <w:r>
        <w:rPr>
          <w:b/>
        </w:rPr>
        <w:t>ARTICLE 13: SUCCÈS AU CONCOURS ET OBTENTION DU VISA</w:t>
      </w:r>
    </w:p>
    <w:p w:rsidR="00253D21" w:rsidRDefault="00A741DA" w:rsidP="00A741DA">
      <w:pPr>
        <w:spacing w:after="120" w:line="240" w:lineRule="auto"/>
        <w:jc w:val="both"/>
      </w:pPr>
      <w:r>
        <w:t xml:space="preserve">Le fait de voir sa </w:t>
      </w:r>
      <w:r w:rsidR="00B67520">
        <w:t xml:space="preserve">candidature sélectionnée par le comité de </w:t>
      </w:r>
      <w:r w:rsidR="000B4620">
        <w:t>l’OFII</w:t>
      </w:r>
      <w:r w:rsidR="00B67520">
        <w:t xml:space="preserve"> ne vaut pas obtention d</w:t>
      </w:r>
      <w:r>
        <w:t xml:space="preserve">’un </w:t>
      </w:r>
      <w:r w:rsidR="00B67520">
        <w:t xml:space="preserve">visa </w:t>
      </w:r>
      <w:r>
        <w:t xml:space="preserve">pour la </w:t>
      </w:r>
      <w:r w:rsidR="00B67520">
        <w:t xml:space="preserve"> France et la </w:t>
      </w:r>
      <w:r w:rsidR="00423F23">
        <w:t xml:space="preserve">présence sur </w:t>
      </w:r>
      <w:r w:rsidR="00B67520">
        <w:t>l</w:t>
      </w:r>
      <w:r>
        <w:t>a</w:t>
      </w:r>
      <w:r w:rsidR="00B67520">
        <w:t xml:space="preserve"> liste finale de ce concours ne peut être invoquée pour obtenir un visa.</w:t>
      </w:r>
    </w:p>
    <w:p w:rsidR="00253D21" w:rsidRDefault="00253D21" w:rsidP="00A741DA">
      <w:pPr>
        <w:spacing w:after="120" w:line="240" w:lineRule="auto"/>
        <w:jc w:val="both"/>
        <w:rPr>
          <w:b/>
        </w:rPr>
      </w:pPr>
    </w:p>
    <w:p w:rsidR="00253D21" w:rsidRDefault="00B67520" w:rsidP="00A741DA">
      <w:pPr>
        <w:spacing w:after="120" w:line="240" w:lineRule="auto"/>
        <w:jc w:val="both"/>
      </w:pPr>
      <w:r>
        <w:rPr>
          <w:b/>
        </w:rPr>
        <w:t>ARTICLE 14 – JURIDICTION COMPÉTENTE</w:t>
      </w:r>
    </w:p>
    <w:p w:rsidR="00253D21" w:rsidRDefault="00B67520" w:rsidP="00A741DA">
      <w:pPr>
        <w:spacing w:after="120" w:line="240" w:lineRule="auto"/>
        <w:jc w:val="both"/>
      </w:pPr>
      <w:r>
        <w:t>Les termes et conditions contenus dans cet avis dépendent de la juridiction tunisienne. Tout litige sera soumis à la juridiction exclusive du tribunal de première instance de Tunis. En participant à ce concours, les candidats acceptent de s’en remettre aux lois tunisiennes.</w:t>
      </w:r>
    </w:p>
    <w:p w:rsidR="00253D21" w:rsidRDefault="00253D21">
      <w:pPr>
        <w:spacing w:after="60" w:line="276" w:lineRule="auto"/>
        <w:jc w:val="both"/>
      </w:pPr>
    </w:p>
    <w:p w:rsidR="00253D21" w:rsidRDefault="00253D21">
      <w:pPr>
        <w:spacing w:after="60" w:line="276" w:lineRule="auto"/>
        <w:jc w:val="both"/>
      </w:pPr>
    </w:p>
    <w:p w:rsidR="00253D21" w:rsidRDefault="00253D21">
      <w:pPr>
        <w:spacing w:after="60" w:line="276" w:lineRule="auto"/>
        <w:jc w:val="both"/>
      </w:pPr>
    </w:p>
    <w:p w:rsidR="00253D21" w:rsidRDefault="00253D21">
      <w:pPr>
        <w:spacing w:line="240" w:lineRule="auto"/>
        <w:jc w:val="center"/>
        <w:rPr>
          <w:b/>
          <w:color w:val="05ADA0"/>
          <w:sz w:val="28"/>
          <w:szCs w:val="28"/>
        </w:rPr>
      </w:pPr>
    </w:p>
    <w:p w:rsidR="00253D21" w:rsidRDefault="00253D21">
      <w:pPr>
        <w:spacing w:line="240" w:lineRule="auto"/>
        <w:jc w:val="center"/>
        <w:rPr>
          <w:b/>
          <w:color w:val="05ADA0"/>
          <w:sz w:val="28"/>
          <w:szCs w:val="28"/>
        </w:rPr>
      </w:pPr>
    </w:p>
    <w:p w:rsidR="00253D21" w:rsidRDefault="00253D21">
      <w:pPr>
        <w:spacing w:line="240" w:lineRule="auto"/>
        <w:jc w:val="center"/>
        <w:rPr>
          <w:b/>
          <w:color w:val="05ADA0"/>
          <w:sz w:val="28"/>
          <w:szCs w:val="28"/>
        </w:rPr>
      </w:pPr>
    </w:p>
    <w:p w:rsidR="00253D21" w:rsidRDefault="00253D21">
      <w:pPr>
        <w:spacing w:line="240" w:lineRule="auto"/>
        <w:jc w:val="center"/>
        <w:rPr>
          <w:b/>
          <w:color w:val="05ADA0"/>
          <w:sz w:val="28"/>
          <w:szCs w:val="28"/>
        </w:rPr>
      </w:pPr>
    </w:p>
    <w:p w:rsidR="00253D21" w:rsidRDefault="00253D21">
      <w:pPr>
        <w:spacing w:line="240" w:lineRule="auto"/>
        <w:jc w:val="center"/>
        <w:rPr>
          <w:b/>
          <w:color w:val="05ADA0"/>
          <w:sz w:val="28"/>
          <w:szCs w:val="28"/>
        </w:rPr>
      </w:pPr>
    </w:p>
    <w:p w:rsidR="00253D21" w:rsidRDefault="00253D21">
      <w:pPr>
        <w:spacing w:line="240" w:lineRule="auto"/>
        <w:jc w:val="center"/>
        <w:rPr>
          <w:b/>
          <w:color w:val="05ADA0"/>
          <w:sz w:val="28"/>
          <w:szCs w:val="28"/>
        </w:rPr>
      </w:pPr>
    </w:p>
    <w:p w:rsidR="00253D21" w:rsidRDefault="00253D21">
      <w:pPr>
        <w:spacing w:after="120" w:line="240" w:lineRule="auto"/>
        <w:jc w:val="both"/>
      </w:pPr>
    </w:p>
    <w:p w:rsidR="00253D21" w:rsidRDefault="00B67520">
      <w:pPr>
        <w:spacing w:after="120" w:line="240" w:lineRule="auto"/>
        <w:jc w:val="center"/>
      </w:pPr>
      <w:r>
        <w:rPr>
          <w:i/>
        </w:rPr>
        <w:t>Le projet THAMM OFII est financé par l’Union européenne</w:t>
      </w:r>
    </w:p>
    <w:p w:rsidR="00253D21" w:rsidRDefault="00253D21">
      <w:pPr>
        <w:spacing w:after="200" w:line="276" w:lineRule="auto"/>
        <w:jc w:val="both"/>
        <w:rPr>
          <w:color w:val="1E1C11"/>
        </w:rPr>
      </w:pPr>
    </w:p>
    <w:sectPr w:rsidR="00253D21">
      <w:headerReference w:type="default" r:id="rId10"/>
      <w:footerReference w:type="default" r:id="rId11"/>
      <w:headerReference w:type="first" r:id="rId12"/>
      <w:pgSz w:w="11906" w:h="16838"/>
      <w:pgMar w:top="1134" w:right="1418" w:bottom="709" w:left="1418" w:header="283"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9BB" w:rsidRDefault="007E39BB">
      <w:pPr>
        <w:spacing w:after="0" w:line="240" w:lineRule="auto"/>
      </w:pPr>
      <w:r>
        <w:separator/>
      </w:r>
    </w:p>
  </w:endnote>
  <w:endnote w:type="continuationSeparator" w:id="0">
    <w:p w:rsidR="007E39BB" w:rsidRDefault="007E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38077"/>
      <w:docPartObj>
        <w:docPartGallery w:val="Page Numbers (Bottom of Page)"/>
        <w:docPartUnique/>
      </w:docPartObj>
    </w:sdtPr>
    <w:sdtEndPr/>
    <w:sdtContent>
      <w:p w:rsidR="00A23F7D" w:rsidRDefault="00A23F7D">
        <w:pPr>
          <w:pStyle w:val="Pieddepage"/>
        </w:pPr>
        <w:r>
          <w:fldChar w:fldCharType="begin"/>
        </w:r>
        <w:r>
          <w:instrText>PAGE   \* MERGEFORMAT</w:instrText>
        </w:r>
        <w:r>
          <w:fldChar w:fldCharType="separate"/>
        </w:r>
        <w:r w:rsidR="001D1029">
          <w:rPr>
            <w:noProof/>
          </w:rPr>
          <w:t>2</w:t>
        </w:r>
        <w:r>
          <w:fldChar w:fldCharType="end"/>
        </w:r>
      </w:p>
    </w:sdtContent>
  </w:sdt>
  <w:p w:rsidR="00A23F7D" w:rsidRDefault="00A23F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9BB" w:rsidRDefault="007E39BB">
      <w:pPr>
        <w:spacing w:after="0" w:line="240" w:lineRule="auto"/>
      </w:pPr>
      <w:r>
        <w:separator/>
      </w:r>
    </w:p>
  </w:footnote>
  <w:footnote w:type="continuationSeparator" w:id="0">
    <w:p w:rsidR="007E39BB" w:rsidRDefault="007E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21" w:rsidRDefault="00253D21" w:rsidP="00A23F7D">
    <w:pPr>
      <w:pBdr>
        <w:top w:val="nil"/>
        <w:left w:val="nil"/>
        <w:bottom w:val="nil"/>
        <w:right w:val="nil"/>
        <w:between w:val="nil"/>
      </w:pBdr>
      <w:tabs>
        <w:tab w:val="center" w:pos="4536"/>
        <w:tab w:val="right" w:pos="9072"/>
      </w:tabs>
      <w:spacing w:after="0" w:line="240" w:lineRule="auto"/>
      <w:jc w:val="right"/>
      <w:rPr>
        <w:color w:val="000000"/>
      </w:rPr>
    </w:pPr>
  </w:p>
  <w:p w:rsidR="00253D21" w:rsidRDefault="00253D2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21" w:rsidRDefault="00253D21">
    <w:pPr>
      <w:widowControl w:val="0"/>
      <w:pBdr>
        <w:top w:val="nil"/>
        <w:left w:val="nil"/>
        <w:bottom w:val="nil"/>
        <w:right w:val="nil"/>
        <w:between w:val="nil"/>
      </w:pBdr>
      <w:spacing w:after="0" w:line="276" w:lineRule="auto"/>
      <w:rPr>
        <w:color w:val="1E1C11"/>
      </w:rPr>
    </w:pPr>
  </w:p>
  <w:tbl>
    <w:tblPr>
      <w:tblStyle w:val="a1"/>
      <w:tblW w:w="10065" w:type="dxa"/>
      <w:tblInd w:w="-459" w:type="dxa"/>
      <w:tblLayout w:type="fixed"/>
      <w:tblLook w:val="0400" w:firstRow="0" w:lastRow="0" w:firstColumn="0" w:lastColumn="0" w:noHBand="0" w:noVBand="1"/>
    </w:tblPr>
    <w:tblGrid>
      <w:gridCol w:w="1555"/>
      <w:gridCol w:w="6964"/>
      <w:gridCol w:w="1546"/>
    </w:tblGrid>
    <w:tr w:rsidR="00253D21">
      <w:trPr>
        <w:trHeight w:val="851"/>
      </w:trPr>
      <w:tc>
        <w:tcPr>
          <w:tcW w:w="1555" w:type="dxa"/>
          <w:shd w:val="clear" w:color="auto" w:fill="auto"/>
          <w:vAlign w:val="center"/>
        </w:tcPr>
        <w:p w:rsidR="00253D21" w:rsidRDefault="00B67520">
          <w:pPr>
            <w:pBdr>
              <w:top w:val="nil"/>
              <w:left w:val="nil"/>
              <w:bottom w:val="nil"/>
              <w:right w:val="nil"/>
              <w:between w:val="nil"/>
            </w:pBdr>
            <w:tabs>
              <w:tab w:val="center" w:pos="4536"/>
              <w:tab w:val="right" w:pos="9072"/>
            </w:tabs>
            <w:spacing w:before="120" w:after="120" w:line="240" w:lineRule="auto"/>
            <w:rPr>
              <w:color w:val="000000"/>
              <w:sz w:val="16"/>
              <w:szCs w:val="16"/>
            </w:rPr>
          </w:pPr>
          <w:r>
            <w:rPr>
              <w:noProof/>
              <w:color w:val="000000"/>
            </w:rPr>
            <w:drawing>
              <wp:inline distT="0" distB="0" distL="0" distR="0">
                <wp:extent cx="723900" cy="476250"/>
                <wp:effectExtent l="0" t="0" r="0" b="0"/>
                <wp:docPr id="5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3900" cy="476250"/>
                        </a:xfrm>
                        <a:prstGeom prst="rect">
                          <a:avLst/>
                        </a:prstGeom>
                        <a:ln/>
                      </pic:spPr>
                    </pic:pic>
                  </a:graphicData>
                </a:graphic>
              </wp:inline>
            </w:drawing>
          </w:r>
        </w:p>
      </w:tc>
      <w:tc>
        <w:tcPr>
          <w:tcW w:w="6964" w:type="dxa"/>
          <w:vMerge w:val="restart"/>
          <w:shd w:val="clear" w:color="auto" w:fill="auto"/>
          <w:vAlign w:val="center"/>
        </w:tcPr>
        <w:p w:rsidR="00253D21" w:rsidRDefault="00B67520">
          <w:pPr>
            <w:pBdr>
              <w:top w:val="nil"/>
              <w:left w:val="nil"/>
              <w:bottom w:val="nil"/>
              <w:right w:val="nil"/>
              <w:between w:val="nil"/>
            </w:pBdr>
            <w:tabs>
              <w:tab w:val="center" w:pos="4536"/>
              <w:tab w:val="right" w:pos="9072"/>
            </w:tabs>
            <w:spacing w:before="120" w:after="120" w:line="240" w:lineRule="auto"/>
            <w:ind w:left="-104"/>
            <w:jc w:val="center"/>
            <w:rPr>
              <w:b/>
              <w:color w:val="1F497D"/>
              <w:sz w:val="24"/>
              <w:szCs w:val="24"/>
              <w:highlight w:val="white"/>
            </w:rPr>
          </w:pPr>
          <w:r>
            <w:rPr>
              <w:b/>
              <w:noProof/>
              <w:color w:val="1F497D"/>
              <w:sz w:val="24"/>
              <w:szCs w:val="24"/>
              <w:highlight w:val="white"/>
            </w:rPr>
            <w:drawing>
              <wp:inline distT="0" distB="0" distL="0" distR="0">
                <wp:extent cx="3448050" cy="533400"/>
                <wp:effectExtent l="0" t="0" r="0" b="0"/>
                <wp:docPr id="549" name="image3.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3.jpg" descr="Une image contenant texte&#10;&#10;Description générée automatiquement"/>
                        <pic:cNvPicPr preferRelativeResize="0"/>
                      </pic:nvPicPr>
                      <pic:blipFill>
                        <a:blip r:embed="rId2"/>
                        <a:srcRect/>
                        <a:stretch>
                          <a:fillRect/>
                        </a:stretch>
                      </pic:blipFill>
                      <pic:spPr>
                        <a:xfrm>
                          <a:off x="0" y="0"/>
                          <a:ext cx="3448050" cy="533400"/>
                        </a:xfrm>
                        <a:prstGeom prst="rect">
                          <a:avLst/>
                        </a:prstGeom>
                        <a:ln/>
                      </pic:spPr>
                    </pic:pic>
                  </a:graphicData>
                </a:graphic>
              </wp:inline>
            </w:drawing>
          </w:r>
        </w:p>
      </w:tc>
      <w:tc>
        <w:tcPr>
          <w:tcW w:w="1546" w:type="dxa"/>
          <w:shd w:val="clear" w:color="auto" w:fill="auto"/>
        </w:tcPr>
        <w:p w:rsidR="00253D21" w:rsidRDefault="00B67520">
          <w:pPr>
            <w:pBdr>
              <w:top w:val="nil"/>
              <w:left w:val="nil"/>
              <w:bottom w:val="nil"/>
              <w:right w:val="nil"/>
              <w:between w:val="nil"/>
            </w:pBdr>
            <w:tabs>
              <w:tab w:val="center" w:pos="4536"/>
              <w:tab w:val="right" w:pos="9072"/>
            </w:tabs>
            <w:spacing w:after="0" w:line="240" w:lineRule="auto"/>
            <w:jc w:val="center"/>
            <w:rPr>
              <w:color w:val="000000"/>
              <w:sz w:val="16"/>
              <w:szCs w:val="16"/>
            </w:rPr>
          </w:pPr>
          <w:r>
            <w:rPr>
              <w:noProof/>
              <w:color w:val="000000"/>
            </w:rPr>
            <w:drawing>
              <wp:inline distT="0" distB="0" distL="0" distR="0">
                <wp:extent cx="831850" cy="622300"/>
                <wp:effectExtent l="0" t="0" r="0" b="0"/>
                <wp:docPr id="5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831850" cy="622300"/>
                        </a:xfrm>
                        <a:prstGeom prst="rect">
                          <a:avLst/>
                        </a:prstGeom>
                        <a:ln/>
                      </pic:spPr>
                    </pic:pic>
                  </a:graphicData>
                </a:graphic>
              </wp:inline>
            </w:drawing>
          </w:r>
        </w:p>
      </w:tc>
    </w:tr>
    <w:tr w:rsidR="00253D21">
      <w:trPr>
        <w:trHeight w:val="1418"/>
      </w:trPr>
      <w:tc>
        <w:tcPr>
          <w:tcW w:w="1555" w:type="dxa"/>
          <w:shd w:val="clear" w:color="auto" w:fill="auto"/>
          <w:vAlign w:val="center"/>
        </w:tcPr>
        <w:p w:rsidR="00253D21" w:rsidRDefault="00B67520">
          <w:pPr>
            <w:pBdr>
              <w:top w:val="nil"/>
              <w:left w:val="nil"/>
              <w:bottom w:val="nil"/>
              <w:right w:val="nil"/>
              <w:between w:val="nil"/>
            </w:pBdr>
            <w:tabs>
              <w:tab w:val="center" w:pos="4536"/>
              <w:tab w:val="right" w:pos="9072"/>
            </w:tabs>
            <w:spacing w:before="120" w:after="120" w:line="240" w:lineRule="auto"/>
            <w:rPr>
              <w:color w:val="000000"/>
              <w:sz w:val="16"/>
              <w:szCs w:val="16"/>
            </w:rPr>
          </w:pPr>
          <w:r>
            <w:rPr>
              <w:noProof/>
              <w:color w:val="000000"/>
              <w:sz w:val="16"/>
              <w:szCs w:val="16"/>
            </w:rPr>
            <w:drawing>
              <wp:inline distT="0" distB="0" distL="0" distR="0">
                <wp:extent cx="742950" cy="431800"/>
                <wp:effectExtent l="0" t="0" r="0" b="0"/>
                <wp:docPr id="55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742950" cy="431800"/>
                        </a:xfrm>
                        <a:prstGeom prst="rect">
                          <a:avLst/>
                        </a:prstGeom>
                        <a:ln/>
                      </pic:spPr>
                    </pic:pic>
                  </a:graphicData>
                </a:graphic>
              </wp:inline>
            </w:drawing>
          </w:r>
        </w:p>
        <w:p w:rsidR="00253D21" w:rsidRDefault="00B67520">
          <w:pPr>
            <w:pBdr>
              <w:top w:val="nil"/>
              <w:left w:val="nil"/>
              <w:bottom w:val="nil"/>
              <w:right w:val="nil"/>
              <w:between w:val="nil"/>
            </w:pBdr>
            <w:tabs>
              <w:tab w:val="center" w:pos="4536"/>
              <w:tab w:val="right" w:pos="9072"/>
            </w:tabs>
            <w:spacing w:after="0" w:line="240" w:lineRule="auto"/>
            <w:ind w:left="-108"/>
            <w:jc w:val="center"/>
            <w:rPr>
              <w:color w:val="000000"/>
              <w:sz w:val="16"/>
              <w:szCs w:val="16"/>
            </w:rPr>
          </w:pPr>
          <w:r>
            <w:rPr>
              <w:color w:val="000000"/>
              <w:sz w:val="14"/>
              <w:szCs w:val="14"/>
            </w:rPr>
            <w:t>Projet financé par l’Union européenne</w:t>
          </w:r>
        </w:p>
      </w:tc>
      <w:tc>
        <w:tcPr>
          <w:tcW w:w="6964" w:type="dxa"/>
          <w:vMerge/>
          <w:shd w:val="clear" w:color="auto" w:fill="auto"/>
          <w:vAlign w:val="center"/>
        </w:tcPr>
        <w:p w:rsidR="00253D21" w:rsidRDefault="00253D21">
          <w:pPr>
            <w:widowControl w:val="0"/>
            <w:pBdr>
              <w:top w:val="nil"/>
              <w:left w:val="nil"/>
              <w:bottom w:val="nil"/>
              <w:right w:val="nil"/>
              <w:between w:val="nil"/>
            </w:pBdr>
            <w:spacing w:after="0" w:line="276" w:lineRule="auto"/>
            <w:rPr>
              <w:color w:val="000000"/>
              <w:sz w:val="16"/>
              <w:szCs w:val="16"/>
            </w:rPr>
          </w:pPr>
        </w:p>
      </w:tc>
      <w:tc>
        <w:tcPr>
          <w:tcW w:w="1546" w:type="dxa"/>
          <w:shd w:val="clear" w:color="auto" w:fill="auto"/>
        </w:tcPr>
        <w:p w:rsidR="00253D21" w:rsidRDefault="00B67520">
          <w:pPr>
            <w:pBdr>
              <w:top w:val="nil"/>
              <w:left w:val="nil"/>
              <w:bottom w:val="nil"/>
              <w:right w:val="nil"/>
              <w:between w:val="nil"/>
            </w:pBdr>
            <w:tabs>
              <w:tab w:val="center" w:pos="4536"/>
              <w:tab w:val="right" w:pos="9072"/>
            </w:tabs>
            <w:spacing w:before="120" w:after="120" w:line="240" w:lineRule="auto"/>
            <w:jc w:val="center"/>
            <w:rPr>
              <w:color w:val="000000"/>
              <w:sz w:val="16"/>
              <w:szCs w:val="16"/>
            </w:rPr>
          </w:pPr>
          <w:r>
            <w:rPr>
              <w:noProof/>
              <w:color w:val="000000"/>
              <w:sz w:val="16"/>
              <w:szCs w:val="16"/>
            </w:rPr>
            <w:drawing>
              <wp:inline distT="0" distB="0" distL="0" distR="0">
                <wp:extent cx="558800" cy="463550"/>
                <wp:effectExtent l="0" t="0" r="0" b="0"/>
                <wp:docPr id="5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58800" cy="463550"/>
                        </a:xfrm>
                        <a:prstGeom prst="rect">
                          <a:avLst/>
                        </a:prstGeom>
                        <a:ln/>
                      </pic:spPr>
                    </pic:pic>
                  </a:graphicData>
                </a:graphic>
              </wp:inline>
            </w:drawing>
          </w:r>
        </w:p>
        <w:p w:rsidR="00253D21" w:rsidRDefault="00B67520">
          <w:pPr>
            <w:pBdr>
              <w:top w:val="nil"/>
              <w:left w:val="nil"/>
              <w:bottom w:val="nil"/>
              <w:right w:val="nil"/>
              <w:between w:val="nil"/>
            </w:pBdr>
            <w:tabs>
              <w:tab w:val="center" w:pos="4536"/>
              <w:tab w:val="right" w:pos="9072"/>
            </w:tabs>
            <w:spacing w:after="0" w:line="240" w:lineRule="auto"/>
            <w:ind w:left="-108"/>
            <w:jc w:val="center"/>
            <w:rPr>
              <w:color w:val="000000"/>
              <w:sz w:val="14"/>
              <w:szCs w:val="14"/>
            </w:rPr>
          </w:pPr>
          <w:r>
            <w:rPr>
              <w:color w:val="000000"/>
              <w:sz w:val="14"/>
              <w:szCs w:val="14"/>
            </w:rPr>
            <w:t xml:space="preserve">Opérateur de mise en œuvre </w:t>
          </w:r>
        </w:p>
      </w:tc>
    </w:tr>
  </w:tbl>
  <w:p w:rsidR="00253D21" w:rsidRDefault="00253D2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01750"/>
    <w:multiLevelType w:val="multilevel"/>
    <w:tmpl w:val="1AC8EC4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6216F8D"/>
    <w:multiLevelType w:val="multilevel"/>
    <w:tmpl w:val="78327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395090"/>
    <w:multiLevelType w:val="multilevel"/>
    <w:tmpl w:val="DBA4BC60"/>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38293702"/>
    <w:multiLevelType w:val="multilevel"/>
    <w:tmpl w:val="23D65550"/>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558A5D7C"/>
    <w:multiLevelType w:val="multilevel"/>
    <w:tmpl w:val="5B7AB39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21"/>
    <w:rsid w:val="00091D53"/>
    <w:rsid w:val="000B4620"/>
    <w:rsid w:val="001D1029"/>
    <w:rsid w:val="00253D21"/>
    <w:rsid w:val="002B0655"/>
    <w:rsid w:val="004205E5"/>
    <w:rsid w:val="00423F23"/>
    <w:rsid w:val="0044326A"/>
    <w:rsid w:val="00476072"/>
    <w:rsid w:val="00595735"/>
    <w:rsid w:val="00625CC9"/>
    <w:rsid w:val="00677439"/>
    <w:rsid w:val="006958D6"/>
    <w:rsid w:val="006E2ED6"/>
    <w:rsid w:val="007370D4"/>
    <w:rsid w:val="00766B12"/>
    <w:rsid w:val="00794B9B"/>
    <w:rsid w:val="007E39BB"/>
    <w:rsid w:val="0084502A"/>
    <w:rsid w:val="009272E2"/>
    <w:rsid w:val="00A01842"/>
    <w:rsid w:val="00A23F7D"/>
    <w:rsid w:val="00A741DA"/>
    <w:rsid w:val="00A761DA"/>
    <w:rsid w:val="00AC2342"/>
    <w:rsid w:val="00AE32DA"/>
    <w:rsid w:val="00AF5EE0"/>
    <w:rsid w:val="00B52658"/>
    <w:rsid w:val="00B67520"/>
    <w:rsid w:val="00BC279E"/>
    <w:rsid w:val="00C712B6"/>
    <w:rsid w:val="00D01DD2"/>
    <w:rsid w:val="00DC0A40"/>
    <w:rsid w:val="00EA0D0C"/>
    <w:rsid w:val="00EA4E8E"/>
    <w:rsid w:val="00FC479F"/>
    <w:rsid w:val="00FD0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C0469-9B27-448F-8C09-D2C860A9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2E"/>
  </w:style>
  <w:style w:type="paragraph" w:styleId="Titre1">
    <w:name w:val="heading 1"/>
    <w:basedOn w:val="Normal"/>
    <w:next w:val="Normal"/>
    <w:link w:val="Titre1Car"/>
    <w:uiPriority w:val="9"/>
    <w:qFormat/>
    <w:rsid w:val="00716703"/>
    <w:pPr>
      <w:keepNext/>
      <w:keepLines/>
      <w:widowControl w:val="0"/>
      <w:numPr>
        <w:numId w:val="5"/>
      </w:numPr>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Titre2">
    <w:name w:val="heading 2"/>
    <w:basedOn w:val="Normal"/>
    <w:next w:val="Normal"/>
    <w:link w:val="Titre2Car2"/>
    <w:uiPriority w:val="9"/>
    <w:unhideWhenUsed/>
    <w:qFormat/>
    <w:rsid w:val="00531B14"/>
    <w:pPr>
      <w:keepNext/>
      <w:keepLines/>
      <w:spacing w:before="200" w:after="0"/>
      <w:outlineLvl w:val="1"/>
    </w:pPr>
    <w:rPr>
      <w:rFonts w:eastAsiaTheme="majorEastAsia" w:cstheme="majorBidi"/>
      <w:bCs/>
      <w:color w:val="4F81BD" w:themeColor="accent1"/>
      <w:sz w:val="28"/>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Titre1Car">
    <w:name w:val="Titre 1 Car"/>
    <w:basedOn w:val="Policepardfaut"/>
    <w:link w:val="Titre1"/>
    <w:uiPriority w:val="9"/>
    <w:rsid w:val="00716703"/>
    <w:rPr>
      <w:rFonts w:asciiTheme="majorHAnsi" w:eastAsiaTheme="majorEastAsia" w:hAnsiTheme="majorHAnsi" w:cstheme="majorBidi"/>
      <w:color w:val="365F91" w:themeColor="accent1" w:themeShade="BF"/>
      <w:sz w:val="32"/>
      <w:szCs w:val="32"/>
      <w:lang w:val="en-US"/>
    </w:rPr>
  </w:style>
  <w:style w:type="character" w:customStyle="1" w:styleId="Titre1Car1">
    <w:name w:val="Titre 1 Car1"/>
    <w:basedOn w:val="Policepardfaut"/>
    <w:uiPriority w:val="1"/>
    <w:rsid w:val="00C90845"/>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uiPriority w:val="1"/>
    <w:rsid w:val="00C90845"/>
    <w:rPr>
      <w:rFonts w:eastAsia="Arial" w:cs="Arial"/>
      <w:b/>
      <w:bCs/>
      <w:color w:val="365F91" w:themeColor="accent1" w:themeShade="BF"/>
      <w:sz w:val="24"/>
      <w:u w:val="single" w:color="000000"/>
      <w:lang w:val="en-US"/>
    </w:rPr>
  </w:style>
  <w:style w:type="character" w:customStyle="1" w:styleId="Titre1Car2">
    <w:name w:val="Titre 1 Car2"/>
    <w:basedOn w:val="Policepardfaut"/>
    <w:uiPriority w:val="1"/>
    <w:rsid w:val="00C90845"/>
    <w:rPr>
      <w:rFonts w:asciiTheme="majorHAnsi" w:eastAsiaTheme="majorEastAsia" w:hAnsiTheme="majorHAnsi" w:cstheme="majorBidi"/>
      <w:b/>
      <w:bCs/>
      <w:color w:val="365F91" w:themeColor="accent1" w:themeShade="BF"/>
      <w:sz w:val="28"/>
      <w:szCs w:val="28"/>
      <w:lang w:val="en-US"/>
    </w:rPr>
  </w:style>
  <w:style w:type="character" w:customStyle="1" w:styleId="Titre2Car2">
    <w:name w:val="Titre 2 Car2"/>
    <w:basedOn w:val="Policepardfaut"/>
    <w:link w:val="Titre2"/>
    <w:uiPriority w:val="9"/>
    <w:rsid w:val="00531B14"/>
    <w:rPr>
      <w:rFonts w:eastAsiaTheme="majorEastAsia" w:cstheme="majorBidi"/>
      <w:bCs/>
      <w:color w:val="4F81BD" w:themeColor="accent1"/>
      <w:sz w:val="28"/>
      <w:szCs w:val="26"/>
    </w:rPr>
  </w:style>
  <w:style w:type="character" w:customStyle="1" w:styleId="Titre1Car3">
    <w:name w:val="Titre 1 Car3"/>
    <w:basedOn w:val="Policepardfaut"/>
    <w:uiPriority w:val="1"/>
    <w:rsid w:val="009D22E8"/>
    <w:rPr>
      <w:rFonts w:asciiTheme="majorHAnsi" w:eastAsiaTheme="majorEastAsia" w:hAnsiTheme="majorHAnsi" w:cstheme="majorBidi"/>
      <w:b/>
      <w:bCs/>
      <w:color w:val="365F91" w:themeColor="accent1" w:themeShade="BF"/>
      <w:sz w:val="28"/>
      <w:szCs w:val="28"/>
      <w:lang w:val="en-US"/>
    </w:rPr>
  </w:style>
  <w:style w:type="character" w:customStyle="1" w:styleId="Titre2Car1">
    <w:name w:val="Titre 2 Car1"/>
    <w:basedOn w:val="Policepardfaut"/>
    <w:uiPriority w:val="9"/>
    <w:rsid w:val="00531B14"/>
    <w:rPr>
      <w:rFonts w:eastAsiaTheme="majorEastAsia" w:cstheme="majorBidi"/>
      <w:bCs/>
      <w:color w:val="4F81BD" w:themeColor="accent1"/>
      <w:sz w:val="28"/>
      <w:szCs w:val="26"/>
    </w:rPr>
  </w:style>
  <w:style w:type="paragraph" w:styleId="En-tte">
    <w:name w:val="header"/>
    <w:basedOn w:val="Normal"/>
    <w:link w:val="En-tteCar"/>
    <w:uiPriority w:val="99"/>
    <w:unhideWhenUsed/>
    <w:rsid w:val="004C692E"/>
    <w:pPr>
      <w:tabs>
        <w:tab w:val="center" w:pos="4536"/>
        <w:tab w:val="right" w:pos="9072"/>
      </w:tabs>
      <w:spacing w:after="0" w:line="240" w:lineRule="auto"/>
    </w:pPr>
  </w:style>
  <w:style w:type="character" w:customStyle="1" w:styleId="En-tteCar">
    <w:name w:val="En-tête Car"/>
    <w:basedOn w:val="Policepardfaut"/>
    <w:link w:val="En-tte"/>
    <w:uiPriority w:val="99"/>
    <w:rsid w:val="004C692E"/>
  </w:style>
  <w:style w:type="table" w:styleId="Grilledutableau">
    <w:name w:val="Table Grid"/>
    <w:basedOn w:val="TableauNormal"/>
    <w:uiPriority w:val="59"/>
    <w:rsid w:val="004C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C6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92E"/>
    <w:rPr>
      <w:rFonts w:ascii="Tahoma" w:hAnsi="Tahoma" w:cs="Tahoma"/>
      <w:sz w:val="16"/>
      <w:szCs w:val="16"/>
    </w:rPr>
  </w:style>
  <w:style w:type="character" w:styleId="Lienhypertexte">
    <w:name w:val="Hyperlink"/>
    <w:basedOn w:val="Policepardfaut"/>
    <w:uiPriority w:val="99"/>
    <w:unhideWhenUsed/>
    <w:rsid w:val="00CB72BB"/>
    <w:rPr>
      <w:color w:val="0000FF" w:themeColor="hyperlink"/>
      <w:u w:val="single"/>
    </w:rPr>
  </w:style>
  <w:style w:type="paragraph" w:customStyle="1" w:styleId="Default">
    <w:name w:val="Default"/>
    <w:rsid w:val="002549F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BD374F"/>
    <w:pPr>
      <w:ind w:left="720"/>
      <w:contextualSpacing/>
    </w:pPr>
  </w:style>
  <w:style w:type="paragraph" w:styleId="Notedebasdepage">
    <w:name w:val="footnote text"/>
    <w:basedOn w:val="Normal"/>
    <w:link w:val="NotedebasdepageCar"/>
    <w:uiPriority w:val="99"/>
    <w:semiHidden/>
    <w:unhideWhenUsed/>
    <w:rsid w:val="000217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1727"/>
    <w:rPr>
      <w:sz w:val="20"/>
      <w:szCs w:val="20"/>
    </w:rPr>
  </w:style>
  <w:style w:type="character" w:styleId="Appelnotedebasdep">
    <w:name w:val="footnote reference"/>
    <w:basedOn w:val="Policepardfaut"/>
    <w:uiPriority w:val="99"/>
    <w:semiHidden/>
    <w:unhideWhenUsed/>
    <w:rsid w:val="00021727"/>
    <w:rPr>
      <w:vertAlign w:val="superscript"/>
    </w:rPr>
  </w:style>
  <w:style w:type="paragraph" w:styleId="Pieddepage">
    <w:name w:val="footer"/>
    <w:basedOn w:val="Normal"/>
    <w:link w:val="PieddepageCar"/>
    <w:uiPriority w:val="99"/>
    <w:unhideWhenUsed/>
    <w:rsid w:val="00B24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DE8"/>
  </w:style>
  <w:style w:type="character" w:styleId="Marquedecommentaire">
    <w:name w:val="annotation reference"/>
    <w:basedOn w:val="Policepardfaut"/>
    <w:uiPriority w:val="99"/>
    <w:semiHidden/>
    <w:unhideWhenUsed/>
    <w:rsid w:val="0024512F"/>
    <w:rPr>
      <w:sz w:val="16"/>
      <w:szCs w:val="16"/>
    </w:rPr>
  </w:style>
  <w:style w:type="paragraph" w:styleId="Commentaire">
    <w:name w:val="annotation text"/>
    <w:basedOn w:val="Normal"/>
    <w:link w:val="CommentaireCar"/>
    <w:uiPriority w:val="99"/>
    <w:semiHidden/>
    <w:unhideWhenUsed/>
    <w:rsid w:val="0024512F"/>
    <w:pPr>
      <w:spacing w:line="240" w:lineRule="auto"/>
    </w:pPr>
    <w:rPr>
      <w:sz w:val="20"/>
      <w:szCs w:val="20"/>
    </w:rPr>
  </w:style>
  <w:style w:type="character" w:customStyle="1" w:styleId="CommentaireCar">
    <w:name w:val="Commentaire Car"/>
    <w:basedOn w:val="Policepardfaut"/>
    <w:link w:val="Commentaire"/>
    <w:uiPriority w:val="99"/>
    <w:semiHidden/>
    <w:rsid w:val="0024512F"/>
    <w:rPr>
      <w:sz w:val="20"/>
      <w:szCs w:val="20"/>
    </w:rPr>
  </w:style>
  <w:style w:type="paragraph" w:styleId="Objetducommentaire">
    <w:name w:val="annotation subject"/>
    <w:basedOn w:val="Commentaire"/>
    <w:next w:val="Commentaire"/>
    <w:link w:val="ObjetducommentaireCar"/>
    <w:uiPriority w:val="99"/>
    <w:semiHidden/>
    <w:unhideWhenUsed/>
    <w:rsid w:val="0024512F"/>
    <w:rPr>
      <w:b/>
      <w:bCs/>
    </w:rPr>
  </w:style>
  <w:style w:type="character" w:customStyle="1" w:styleId="ObjetducommentaireCar">
    <w:name w:val="Objet du commentaire Car"/>
    <w:basedOn w:val="CommentaireCar"/>
    <w:link w:val="Objetducommentaire"/>
    <w:uiPriority w:val="99"/>
    <w:semiHidden/>
    <w:rsid w:val="0024512F"/>
    <w:rPr>
      <w:b/>
      <w:bCs/>
      <w:sz w:val="20"/>
      <w:szCs w:val="20"/>
    </w:rPr>
  </w:style>
  <w:style w:type="character" w:styleId="lev">
    <w:name w:val="Strong"/>
    <w:basedOn w:val="Policepardfaut"/>
    <w:uiPriority w:val="22"/>
    <w:qFormat/>
    <w:rsid w:val="00215674"/>
    <w:rPr>
      <w:b/>
      <w:bCs/>
    </w:rPr>
  </w:style>
  <w:style w:type="paragraph" w:styleId="NormalWeb">
    <w:name w:val="Normal (Web)"/>
    <w:basedOn w:val="Normal"/>
    <w:uiPriority w:val="99"/>
    <w:semiHidden/>
    <w:unhideWhenUsed/>
    <w:rsid w:val="00215674"/>
    <w:pPr>
      <w:spacing w:after="240" w:line="240" w:lineRule="auto"/>
    </w:pPr>
    <w:rPr>
      <w:rFonts w:ascii="Times New Roman" w:eastAsia="Times New Roman" w:hAnsi="Times New Roman" w:cs="Times New Roman"/>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mbassadefrance-tn.org/spip.php?article566"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YqJYZNk9qTrd0rEc0Ff/6ksx0Q==">AMUW2mXwrKti4NXqnwdUb9TWTMRy0brFQ4vCoGMfA5i9/Dpc9K3f1cx6rVX4vacSCxqINZTWjw4IqLDdAeQJDEykJBHwB4DZWzmGS7ccKqnbxK7AFs3P0YrM+D7YiF1cW2aJf3sQmVBcHTXSl3Pd9gwtbvdkPIsUHA==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D05801-4AF3-42ED-BA5D-B9D70E4F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2189</Words>
  <Characters>12041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OFII</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HAMMOUDA, Helene</dc:creator>
  <cp:lastModifiedBy>BEN-SASSI, Soraya</cp:lastModifiedBy>
  <cp:revision>5</cp:revision>
  <dcterms:created xsi:type="dcterms:W3CDTF">2022-10-14T08:26:00Z</dcterms:created>
  <dcterms:modified xsi:type="dcterms:W3CDTF">2022-10-14T08:29:00Z</dcterms:modified>
</cp:coreProperties>
</file>